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D7" w:rsidRDefault="00014FD7" w:rsidP="00014FD7">
      <w:pPr>
        <w:spacing w:after="0" w:line="240" w:lineRule="auto"/>
        <w:jc w:val="center"/>
        <w:rPr>
          <w:rFonts w:cs="Times New Roman"/>
          <w:b/>
          <w:smallCaps/>
          <w:sz w:val="40"/>
          <w:szCs w:val="40"/>
        </w:rPr>
      </w:pPr>
      <w:r>
        <w:rPr>
          <w:noProof/>
        </w:rPr>
        <mc:AlternateContent>
          <mc:Choice Requires="wps">
            <w:drawing>
              <wp:anchor distT="0" distB="0" distL="114300" distR="114300" simplePos="0" relativeHeight="251654656" behindDoc="0" locked="0" layoutInCell="1" allowOverlap="1">
                <wp:simplePos x="0" y="0"/>
                <wp:positionH relativeFrom="column">
                  <wp:posOffset>12065</wp:posOffset>
                </wp:positionH>
                <wp:positionV relativeFrom="paragraph">
                  <wp:posOffset>-62230</wp:posOffset>
                </wp:positionV>
                <wp:extent cx="6288405" cy="7620"/>
                <wp:effectExtent l="57150" t="38100" r="55245" b="87630"/>
                <wp:wrapNone/>
                <wp:docPr id="10" name="Straight Connector 10"/>
                <wp:cNvGraphicFramePr/>
                <a:graphic xmlns:a="http://schemas.openxmlformats.org/drawingml/2006/main">
                  <a:graphicData uri="http://schemas.microsoft.com/office/word/2010/wordprocessingShape">
                    <wps:wsp>
                      <wps:cNvCnPr/>
                      <wps:spPr>
                        <a:xfrm flipV="1">
                          <a:off x="0" y="0"/>
                          <a:ext cx="6288405"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" strokecolor="black [3200]" strokeweight="3pt">
                <v:shadow on="t" color="black" opacity="22937f" origin=",.5" offset="0,.63889mm"/>
              </v:line>
            </w:pict>
          </mc:Fallback>
        </mc:AlternateContent>
      </w:r>
      <w:r>
        <w:rPr>
          <w:rFonts w:cs="Times New Roman"/>
          <w:b/>
          <w:smallCaps/>
          <w:sz w:val="40"/>
          <w:szCs w:val="40"/>
        </w:rPr>
        <w:t>United States District Court</w:t>
      </w:r>
      <w:r>
        <w:rPr>
          <w:rFonts w:cs="Times New Roman"/>
          <w:b/>
          <w:smallCaps/>
          <w:sz w:val="40"/>
          <w:szCs w:val="40"/>
        </w:rPr>
        <w:br/>
        <w:t>For The Northern District of New York</w:t>
      </w:r>
    </w:p>
    <w:p w:rsidR="00014FD7" w:rsidRDefault="00014FD7" w:rsidP="0001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254000</wp:posOffset>
                </wp:positionV>
                <wp:extent cx="6335395" cy="0"/>
                <wp:effectExtent l="57150" t="38100" r="46355" b="95250"/>
                <wp:wrapNone/>
                <wp:docPr id="4" name="Straight Connector 4"/>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" strokecolor="black [3200]" strokeweight="3pt">
                <v:shadow on="t" color="black" opacity="22937f" origin=",.5" offset="0,.63889mm"/>
              </v:line>
            </w:pict>
          </mc:Fallback>
        </mc:AlternateContent>
      </w:r>
      <w:r>
        <w:rPr>
          <w:rFonts w:asciiTheme="minorHAnsi" w:hAnsiTheme="minorHAnsi" w:cstheme="minorHAnsi"/>
          <w:spacing w:val="60"/>
          <w:sz w:val="26"/>
          <w:szCs w:val="26"/>
        </w:rPr>
        <w:t>• 445 Broadway; Albany, NY. 12207-2936 •</w:t>
      </w:r>
    </w:p>
    <w:p w:rsidR="00014FD7" w:rsidRDefault="00014FD7" w:rsidP="00014FD7">
      <w:pPr>
        <w:jc w:val="both"/>
        <w:rPr>
          <w:rFonts w:cs="Times New Roman"/>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3359785</wp:posOffset>
                </wp:positionH>
                <wp:positionV relativeFrom="paragraph">
                  <wp:posOffset>194310</wp:posOffset>
                </wp:positionV>
                <wp:extent cx="140970" cy="1770380"/>
                <wp:effectExtent l="38100" t="38100" r="68580" b="96520"/>
                <wp:wrapNone/>
                <wp:docPr id="2" name="Righ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6974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margin-left:264.55pt;margin-top:15.3pt;width:11.1pt;height:1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" adj="2402" strokecolor="black [3200]" strokeweight="2pt">
                <v:shadow on="t" color="black" opacity="24903f" origin=",.5" offset="0,.55556mm"/>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014FD7" w:rsidTr="00014FD7">
        <w:tc>
          <w:tcPr>
            <w:tcW w:w="5598" w:type="dxa"/>
            <w:hideMark/>
          </w:tcPr>
          <w:p w:rsidR="00014FD7" w:rsidRDefault="00014FD7">
            <w:pPr>
              <w:jc w:val="both"/>
              <w:rPr>
                <w:rFonts w:cs="Times New Roman"/>
                <w:szCs w:val="28"/>
              </w:rPr>
            </w:pPr>
            <w:r>
              <w:rPr>
                <w:rFonts w:cs="Times New Roman"/>
                <w:szCs w:val="28"/>
              </w:rPr>
              <w:t>United States Grand Jury</w:t>
            </w:r>
            <w:r>
              <w:rPr>
                <w:rStyle w:val="FootnoteReference"/>
                <w:rFonts w:cs="Times New Roman"/>
                <w:szCs w:val="28"/>
              </w:rPr>
              <w:footnoteReference w:id="1"/>
            </w:r>
            <w:r>
              <w:rPr>
                <w:szCs w:val="28"/>
              </w:rPr>
              <w:t xml:space="preserve"> (</w:t>
            </w:r>
            <w:r>
              <w:rPr>
                <w:i/>
                <w:szCs w:val="28"/>
              </w:rPr>
              <w:t>Status sovereign</w:t>
            </w:r>
            <w:r>
              <w:rPr>
                <w:rStyle w:val="FootnoteReference"/>
                <w:szCs w:val="28"/>
              </w:rPr>
              <w:footnoteReference w:id="2"/>
            </w:r>
            <w:r>
              <w:rPr>
                <w:szCs w:val="28"/>
              </w:rPr>
              <w:t>)</w:t>
            </w:r>
          </w:p>
        </w:tc>
        <w:tc>
          <w:tcPr>
            <w:tcW w:w="4320" w:type="dxa"/>
            <w:hideMark/>
          </w:tcPr>
          <w:p w:rsidR="00014FD7" w:rsidRDefault="00014FD7">
            <w:pPr>
              <w:rPr>
                <w:rFonts w:cs="Times New Roman"/>
                <w:szCs w:val="28"/>
              </w:rPr>
            </w:pPr>
            <w:r>
              <w:rPr>
                <w:rFonts w:cs="Times New Roman"/>
                <w:b/>
                <w:smallCaps/>
                <w:szCs w:val="28"/>
                <w:u w:val="single"/>
              </w:rPr>
              <w:t>Jurisdiction</w:t>
            </w:r>
            <w:r>
              <w:rPr>
                <w:rFonts w:cs="Times New Roman"/>
                <w:b/>
                <w:szCs w:val="28"/>
              </w:rPr>
              <w:t>:</w:t>
            </w:r>
            <w:r w:rsidR="00A80AFF">
              <w:rPr>
                <w:rFonts w:cs="Times New Roman"/>
                <w:szCs w:val="28"/>
              </w:rPr>
              <w:t xml:space="preserve"> </w:t>
            </w:r>
            <w:r>
              <w:rPr>
                <w:rFonts w:cs="Times New Roman"/>
                <w:szCs w:val="28"/>
              </w:rPr>
              <w:t>Court of Record</w:t>
            </w:r>
            <w:r>
              <w:rPr>
                <w:rStyle w:val="FootnoteReference"/>
                <w:rFonts w:cs="Times New Roman"/>
                <w:szCs w:val="28"/>
              </w:rPr>
              <w:footnoteReference w:id="3"/>
            </w:r>
            <w:r>
              <w:rPr>
                <w:rFonts w:cs="Times New Roman"/>
                <w:szCs w:val="28"/>
              </w:rPr>
              <w:t xml:space="preserve"> </w:t>
            </w:r>
          </w:p>
        </w:tc>
      </w:tr>
      <w:tr w:rsidR="00014FD7" w:rsidTr="00014FD7">
        <w:tc>
          <w:tcPr>
            <w:tcW w:w="5598" w:type="dxa"/>
            <w:hideMark/>
          </w:tcPr>
          <w:p w:rsidR="00014FD7" w:rsidRDefault="00A80AFF">
            <w:pPr>
              <w:rPr>
                <w:rFonts w:cs="Times New Roman"/>
                <w:szCs w:val="28"/>
              </w:rPr>
            </w:pPr>
            <w:r>
              <w:rPr>
                <w:rFonts w:cs="Times New Roman"/>
                <w:szCs w:val="28"/>
              </w:rPr>
              <w:t xml:space="preserve">                          </w:t>
            </w:r>
            <w:r w:rsidR="00014FD7">
              <w:rPr>
                <w:rFonts w:cs="Times New Roman"/>
                <w:szCs w:val="28"/>
              </w:rPr>
              <w:t xml:space="preserve"> We the People</w:t>
            </w:r>
          </w:p>
        </w:tc>
        <w:tc>
          <w:tcPr>
            <w:tcW w:w="4320" w:type="dxa"/>
            <w:hideMark/>
          </w:tcPr>
          <w:p w:rsidR="00014FD7" w:rsidRDefault="00014FD7">
            <w:pPr>
              <w:rPr>
                <w:rFonts w:cs="Times New Roman"/>
                <w:szCs w:val="28"/>
              </w:rPr>
            </w:pPr>
            <w:r>
              <w:rPr>
                <w:rFonts w:cs="Times New Roman"/>
                <w:szCs w:val="28"/>
              </w:rPr>
              <w:t>Federal Case No.______________</w:t>
            </w:r>
          </w:p>
        </w:tc>
      </w:tr>
      <w:tr w:rsidR="00014FD7" w:rsidTr="00014FD7">
        <w:tc>
          <w:tcPr>
            <w:tcW w:w="5598" w:type="dxa"/>
          </w:tcPr>
          <w:p w:rsidR="00014FD7" w:rsidRDefault="00014FD7">
            <w:pPr>
              <w:jc w:val="both"/>
              <w:rPr>
                <w:rFonts w:cs="Times New Roman"/>
                <w:szCs w:val="28"/>
              </w:rPr>
            </w:pPr>
          </w:p>
        </w:tc>
        <w:tc>
          <w:tcPr>
            <w:tcW w:w="4320" w:type="dxa"/>
          </w:tcPr>
          <w:p w:rsidR="00014FD7" w:rsidRDefault="00014FD7">
            <w:pPr>
              <w:rPr>
                <w:rFonts w:cs="Times New Roman"/>
                <w:szCs w:val="28"/>
              </w:rPr>
            </w:pPr>
          </w:p>
        </w:tc>
      </w:tr>
      <w:tr w:rsidR="00014FD7" w:rsidTr="00014FD7">
        <w:tc>
          <w:tcPr>
            <w:tcW w:w="5598" w:type="dxa"/>
            <w:hideMark/>
          </w:tcPr>
          <w:p w:rsidR="00014FD7" w:rsidRDefault="00014FD7">
            <w:pPr>
              <w:jc w:val="center"/>
              <w:rPr>
                <w:rFonts w:cs="Times New Roman"/>
                <w:szCs w:val="28"/>
              </w:rPr>
            </w:pPr>
            <w:r>
              <w:rPr>
                <w:rFonts w:cs="Times New Roman"/>
                <w:szCs w:val="28"/>
              </w:rPr>
              <w:t>- against -</w:t>
            </w:r>
          </w:p>
        </w:tc>
        <w:tc>
          <w:tcPr>
            <w:tcW w:w="4320" w:type="dxa"/>
          </w:tcPr>
          <w:p w:rsidR="00014FD7" w:rsidRDefault="00014FD7">
            <w:pPr>
              <w:rPr>
                <w:rFonts w:cs="Times New Roman"/>
                <w:b/>
                <w:szCs w:val="28"/>
              </w:rPr>
            </w:pPr>
          </w:p>
        </w:tc>
      </w:tr>
      <w:tr w:rsidR="00014FD7" w:rsidTr="00014FD7">
        <w:tc>
          <w:tcPr>
            <w:tcW w:w="5598" w:type="dxa"/>
          </w:tcPr>
          <w:p w:rsidR="00014FD7" w:rsidRDefault="00014FD7">
            <w:pPr>
              <w:jc w:val="both"/>
              <w:rPr>
                <w:rFonts w:cs="Times New Roman"/>
                <w:szCs w:val="28"/>
              </w:rPr>
            </w:pPr>
          </w:p>
        </w:tc>
        <w:tc>
          <w:tcPr>
            <w:tcW w:w="4320" w:type="dxa"/>
          </w:tcPr>
          <w:p w:rsidR="00014FD7" w:rsidRDefault="00014FD7">
            <w:pPr>
              <w:autoSpaceDE w:val="0"/>
              <w:autoSpaceDN w:val="0"/>
              <w:adjustRightInd w:val="0"/>
              <w:ind w:right="720"/>
              <w:jc w:val="center"/>
              <w:rPr>
                <w:rFonts w:cs="Times New Roman"/>
                <w:b/>
                <w:szCs w:val="28"/>
              </w:rPr>
            </w:pPr>
          </w:p>
        </w:tc>
      </w:tr>
      <w:tr w:rsidR="00014FD7" w:rsidTr="00014FD7">
        <w:tc>
          <w:tcPr>
            <w:tcW w:w="5598" w:type="dxa"/>
            <w:hideMark/>
          </w:tcPr>
          <w:p w:rsidR="00014FD7" w:rsidRDefault="00014FD7">
            <w:pPr>
              <w:jc w:val="both"/>
              <w:rPr>
                <w:rFonts w:cs="Times New Roman"/>
                <w:szCs w:val="28"/>
              </w:rPr>
            </w:pPr>
            <w:r>
              <w:rPr>
                <w:rFonts w:cs="Times New Roman"/>
                <w:szCs w:val="28"/>
              </w:rPr>
              <w:t>Federal Judiciary</w:t>
            </w:r>
            <w:r>
              <w:rPr>
                <w:rStyle w:val="FootnoteReference"/>
                <w:rFonts w:cs="Times New Roman"/>
                <w:szCs w:val="28"/>
              </w:rPr>
              <w:footnoteReference w:id="4"/>
            </w:r>
            <w:r>
              <w:rPr>
                <w:rFonts w:cs="Times New Roman"/>
                <w:szCs w:val="28"/>
              </w:rPr>
              <w:t xml:space="preserve"> (</w:t>
            </w:r>
            <w:r>
              <w:rPr>
                <w:rFonts w:cs="Times New Roman"/>
                <w:i/>
                <w:szCs w:val="28"/>
              </w:rPr>
              <w:t xml:space="preserve">Status: </w:t>
            </w:r>
            <w:r>
              <w:rPr>
                <w:i/>
                <w:szCs w:val="28"/>
              </w:rPr>
              <w:t>clipped sovereignty</w:t>
            </w:r>
            <w:r>
              <w:rPr>
                <w:rFonts w:cs="Times New Roman"/>
                <w:szCs w:val="28"/>
              </w:rPr>
              <w:t>)</w:t>
            </w:r>
          </w:p>
        </w:tc>
        <w:tc>
          <w:tcPr>
            <w:tcW w:w="4320" w:type="dxa"/>
            <w:hideMark/>
          </w:tcPr>
          <w:p w:rsidR="00014FD7" w:rsidRDefault="00014FD7">
            <w:pPr>
              <w:autoSpaceDE w:val="0"/>
              <w:autoSpaceDN w:val="0"/>
              <w:adjustRightInd w:val="0"/>
              <w:ind w:right="-18"/>
              <w:jc w:val="center"/>
              <w:rPr>
                <w:rFonts w:cs="Times New Roman"/>
                <w:b/>
                <w:szCs w:val="28"/>
              </w:rPr>
            </w:pPr>
            <w:r>
              <w:rPr>
                <w:b/>
                <w:smallCaps/>
                <w:szCs w:val="28"/>
              </w:rPr>
              <w:t>Memorandum of Law</w:t>
            </w:r>
          </w:p>
        </w:tc>
      </w:tr>
      <w:tr w:rsidR="00014FD7" w:rsidTr="00014FD7">
        <w:tc>
          <w:tcPr>
            <w:tcW w:w="5598" w:type="dxa"/>
            <w:hideMark/>
          </w:tcPr>
          <w:p w:rsidR="00014FD7" w:rsidRDefault="00014FD7">
            <w:pPr>
              <w:rPr>
                <w:rFonts w:cs="Times New Roman"/>
                <w:szCs w:val="28"/>
              </w:rPr>
            </w:pPr>
            <w:r>
              <w:rPr>
                <w:noProof/>
              </w:rPr>
              <mc:AlternateContent>
                <mc:Choice Requires="wps">
                  <w:drawing>
                    <wp:anchor distT="0" distB="0" distL="114300" distR="114300" simplePos="0" relativeHeight="251658752" behindDoc="0" locked="0" layoutInCell="1" allowOverlap="1" wp14:anchorId="31076C84" wp14:editId="04DAC4EB">
                      <wp:simplePos x="0" y="0"/>
                      <wp:positionH relativeFrom="column">
                        <wp:posOffset>-76200</wp:posOffset>
                      </wp:positionH>
                      <wp:positionV relativeFrom="paragraph">
                        <wp:posOffset>375285</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29.55pt" to="265.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" strokecolor="black [3200]" strokeweight="2pt">
                      <v:shadow on="t" color="black" opacity="24903f" origin=",.5" offset="0,.55556mm"/>
                    </v:line>
                  </w:pict>
                </mc:Fallback>
              </mc:AlternateContent>
            </w:r>
            <w:r w:rsidR="00A80AFF">
              <w:rPr>
                <w:rFonts w:cs="Times New Roman"/>
                <w:szCs w:val="28"/>
              </w:rPr>
              <w:t xml:space="preserve">                           </w:t>
            </w:r>
            <w:r>
              <w:rPr>
                <w:rFonts w:cs="Times New Roman"/>
                <w:szCs w:val="28"/>
              </w:rPr>
              <w:t>Respondents</w:t>
            </w:r>
          </w:p>
        </w:tc>
        <w:tc>
          <w:tcPr>
            <w:tcW w:w="4320" w:type="dxa"/>
            <w:hideMark/>
          </w:tcPr>
          <w:p w:rsidR="00014FD7" w:rsidRDefault="00014FD7">
            <w:pPr>
              <w:jc w:val="center"/>
              <w:rPr>
                <w:rFonts w:cs="Times New Roman"/>
                <w:b/>
                <w:szCs w:val="28"/>
              </w:rPr>
            </w:pPr>
            <w:r>
              <w:rPr>
                <w:b/>
                <w:smallCaps/>
                <w:szCs w:val="28"/>
              </w:rPr>
              <w:t xml:space="preserve">Natural Law </w:t>
            </w:r>
            <w:r w:rsidRPr="00EC23A9">
              <w:rPr>
                <w:b/>
                <w:smallCaps/>
                <w:szCs w:val="28"/>
              </w:rPr>
              <w:t>Jurisdiction</w:t>
            </w:r>
          </w:p>
        </w:tc>
      </w:tr>
    </w:tbl>
    <w:p w:rsidR="00014FD7" w:rsidRDefault="00014FD7" w:rsidP="00014FD7">
      <w:pPr>
        <w:spacing w:after="0"/>
        <w:rPr>
          <w:rFonts w:cs="Times New Roman"/>
          <w:b/>
          <w:smallCaps/>
          <w:szCs w:val="28"/>
        </w:rPr>
      </w:pPr>
    </w:p>
    <w:p w:rsidR="008C5F93" w:rsidRDefault="008C5F93" w:rsidP="008C5F93">
      <w:pPr>
        <w:rPr>
          <w:rFonts w:cs="Times New Roman"/>
          <w:b/>
          <w:smallCaps/>
          <w:szCs w:val="28"/>
        </w:rPr>
      </w:pPr>
    </w:p>
    <w:p w:rsidR="00403E2C" w:rsidRPr="004A0A89" w:rsidRDefault="008C5F93" w:rsidP="008C5F93">
      <w:pPr>
        <w:jc w:val="both"/>
        <w:rPr>
          <w:rFonts w:eastAsia="Times New Roman" w:cstheme="minorHAnsi"/>
          <w:szCs w:val="28"/>
        </w:rPr>
      </w:pPr>
      <w:r w:rsidRPr="004A0A89">
        <w:rPr>
          <w:rFonts w:cs="Times New Roman"/>
          <w:szCs w:val="28"/>
        </w:rPr>
        <w:t xml:space="preserve">The purpose of this memorandum is to establish the unalienable right of the People to be judged in Natural Law Courts by </w:t>
      </w:r>
      <w:r w:rsidR="00483463" w:rsidRPr="004A0A89">
        <w:rPr>
          <w:rFonts w:cs="Times New Roman"/>
          <w:szCs w:val="28"/>
        </w:rPr>
        <w:t>their</w:t>
      </w:r>
      <w:r w:rsidRPr="004A0A89">
        <w:rPr>
          <w:rFonts w:cs="Times New Roman"/>
          <w:szCs w:val="28"/>
        </w:rPr>
        <w:t xml:space="preserve"> peers and not government (judges)</w:t>
      </w:r>
      <w:r w:rsidR="00AC3660" w:rsidRPr="004A0A89">
        <w:rPr>
          <w:rFonts w:cs="Times New Roman"/>
          <w:szCs w:val="28"/>
        </w:rPr>
        <w:t xml:space="preserve"> controlled courts</w:t>
      </w:r>
      <w:r w:rsidRPr="004A0A89">
        <w:rPr>
          <w:rFonts w:cs="Times New Roman"/>
          <w:szCs w:val="28"/>
        </w:rPr>
        <w:t xml:space="preserve">. </w:t>
      </w:r>
      <w:r w:rsidR="00403E2C" w:rsidRPr="004A0A89">
        <w:rPr>
          <w:rFonts w:eastAsia="Times New Roman" w:cstheme="minorHAnsi"/>
          <w:szCs w:val="28"/>
        </w:rPr>
        <w:t>Natural Liberty is the power of acting as one thinks fit, without any restraint or control, unless by the law of nature.</w:t>
      </w:r>
      <w:r w:rsidR="00403E2C" w:rsidRPr="004A0A89">
        <w:rPr>
          <w:rStyle w:val="FootnoteReference"/>
          <w:rFonts w:eastAsia="Times New Roman" w:cstheme="minorHAnsi"/>
          <w:szCs w:val="28"/>
        </w:rPr>
        <w:footnoteReference w:id="5"/>
      </w:r>
      <w:r w:rsidR="00403E2C" w:rsidRPr="004A0A89">
        <w:rPr>
          <w:rFonts w:eastAsia="Times New Roman" w:cstheme="minorHAnsi"/>
          <w:szCs w:val="28"/>
        </w:rPr>
        <w:t xml:space="preserve"> It is the right which nature’s God gives to all mankind of disposing of their persons and property after the manner they judge most consistent with their happiness, on condition of their acting within the limits of the law of nature, and so as not to interfere with an equal exercise of the same rights by other men.</w:t>
      </w:r>
      <w:r w:rsidR="00403E2C" w:rsidRPr="004A0A89">
        <w:rPr>
          <w:rStyle w:val="FootnoteReference"/>
          <w:rFonts w:eastAsia="Times New Roman" w:cstheme="minorHAnsi"/>
          <w:szCs w:val="28"/>
        </w:rPr>
        <w:footnoteReference w:id="6"/>
      </w:r>
      <w:r w:rsidR="00403E2C" w:rsidRPr="004A0A89">
        <w:rPr>
          <w:rFonts w:eastAsia="Times New Roman" w:cstheme="minorHAnsi"/>
          <w:szCs w:val="28"/>
        </w:rPr>
        <w:t xml:space="preserve"> Whereas civil libert</w:t>
      </w:r>
      <w:r w:rsidR="00483463" w:rsidRPr="004A0A89">
        <w:rPr>
          <w:rFonts w:eastAsia="Times New Roman" w:cstheme="minorHAnsi"/>
          <w:szCs w:val="28"/>
        </w:rPr>
        <w:t>ies are</w:t>
      </w:r>
      <w:r w:rsidR="00403E2C" w:rsidRPr="004A0A89">
        <w:rPr>
          <w:rFonts w:eastAsia="Times New Roman" w:cstheme="minorHAnsi"/>
          <w:szCs w:val="28"/>
        </w:rPr>
        <w:t xml:space="preserve"> granted by legislators, </w:t>
      </w:r>
      <w:r w:rsidRPr="004A0A89">
        <w:rPr>
          <w:rFonts w:eastAsia="Times New Roman" w:cstheme="minorHAnsi"/>
          <w:szCs w:val="28"/>
        </w:rPr>
        <w:t>it is t</w:t>
      </w:r>
      <w:r w:rsidR="00403E2C" w:rsidRPr="004A0A89">
        <w:rPr>
          <w:rFonts w:eastAsia="Times New Roman" w:cstheme="minorHAnsi"/>
          <w:szCs w:val="28"/>
        </w:rPr>
        <w:t xml:space="preserve">he power of doing </w:t>
      </w:r>
      <w:r w:rsidR="00403E2C" w:rsidRPr="004A0A89">
        <w:rPr>
          <w:rFonts w:eastAsia="Times New Roman" w:cstheme="minorHAnsi"/>
          <w:szCs w:val="28"/>
        </w:rPr>
        <w:lastRenderedPageBreak/>
        <w:t xml:space="preserve">whatever the </w:t>
      </w:r>
      <w:r w:rsidR="0033668A">
        <w:rPr>
          <w:rFonts w:eastAsia="Times New Roman" w:cstheme="minorHAnsi"/>
          <w:szCs w:val="28"/>
        </w:rPr>
        <w:t xml:space="preserve">[legislative] </w:t>
      </w:r>
      <w:r w:rsidR="00403E2C" w:rsidRPr="004A0A89">
        <w:rPr>
          <w:rFonts w:eastAsia="Times New Roman" w:cstheme="minorHAnsi"/>
          <w:szCs w:val="28"/>
        </w:rPr>
        <w:t>laws permit</w:t>
      </w:r>
      <w:r w:rsidRPr="004A0A89">
        <w:rPr>
          <w:rFonts w:eastAsia="Times New Roman" w:cstheme="minorHAnsi"/>
          <w:szCs w:val="28"/>
        </w:rPr>
        <w:t>,</w:t>
      </w:r>
      <w:r w:rsidRPr="004A0A89">
        <w:rPr>
          <w:rStyle w:val="FootnoteReference"/>
          <w:rFonts w:eastAsia="Times New Roman" w:cstheme="minorHAnsi"/>
          <w:szCs w:val="28"/>
        </w:rPr>
        <w:footnoteReference w:id="7"/>
      </w:r>
      <w:r w:rsidR="00403E2C" w:rsidRPr="004A0A89">
        <w:rPr>
          <w:rFonts w:eastAsia="Times New Roman" w:cstheme="minorHAnsi"/>
          <w:szCs w:val="28"/>
        </w:rPr>
        <w:t xml:space="preserve"> </w:t>
      </w:r>
      <w:r w:rsidRPr="004A0A89">
        <w:rPr>
          <w:rFonts w:eastAsia="Times New Roman" w:cstheme="minorHAnsi"/>
          <w:szCs w:val="28"/>
        </w:rPr>
        <w:t>which is a violation of the Peoples unalienable rights to control their own behavior.</w:t>
      </w:r>
      <w:r w:rsidR="00EC0910" w:rsidRPr="004A0A89">
        <w:rPr>
          <w:rFonts w:eastAsia="Times New Roman" w:cstheme="minorHAnsi"/>
          <w:szCs w:val="28"/>
        </w:rPr>
        <w:t xml:space="preserve"> </w:t>
      </w:r>
      <w:r w:rsidR="00483463" w:rsidRPr="004A0A89">
        <w:rPr>
          <w:rFonts w:eastAsia="Times New Roman" w:cstheme="minorHAnsi"/>
          <w:szCs w:val="28"/>
        </w:rPr>
        <w:t>We the People reject such restrictions in favor of Liberty!</w:t>
      </w:r>
    </w:p>
    <w:p w:rsidR="009D6045" w:rsidRDefault="004A0A89" w:rsidP="004A0A89">
      <w:pPr>
        <w:pStyle w:val="Style"/>
        <w:spacing w:after="240" w:line="276" w:lineRule="auto"/>
        <w:jc w:val="both"/>
        <w:rPr>
          <w:rFonts w:asciiTheme="majorHAnsi" w:eastAsia="Times New Roman" w:hAnsiTheme="majorHAnsi" w:cstheme="majorHAnsi"/>
          <w:sz w:val="28"/>
          <w:szCs w:val="28"/>
        </w:rPr>
      </w:pPr>
      <w:r w:rsidRPr="00733C28">
        <w:rPr>
          <w:rFonts w:asciiTheme="majorHAnsi" w:hAnsiTheme="majorHAnsi" w:cstheme="majorHAnsi"/>
          <w:sz w:val="28"/>
          <w:szCs w:val="28"/>
        </w:rPr>
        <w:t xml:space="preserve">We the People ordained through </w:t>
      </w:r>
      <w:r w:rsidRPr="009D6045">
        <w:rPr>
          <w:rFonts w:asciiTheme="majorHAnsi" w:hAnsiTheme="majorHAnsi" w:cstheme="majorHAnsi"/>
          <w:sz w:val="28"/>
          <w:szCs w:val="28"/>
          <w:u w:val="single"/>
        </w:rPr>
        <w:t>Article III Section 1</w:t>
      </w:r>
      <w:r w:rsidR="004014B5">
        <w:rPr>
          <w:rStyle w:val="FootnoteReference"/>
          <w:rFonts w:asciiTheme="majorHAnsi" w:hAnsiTheme="majorHAnsi" w:cstheme="majorHAnsi"/>
          <w:sz w:val="28"/>
          <w:szCs w:val="28"/>
        </w:rPr>
        <w:footnoteReference w:id="8"/>
      </w:r>
      <w:r w:rsidR="00CE0F1B">
        <w:rPr>
          <w:rFonts w:asciiTheme="majorHAnsi" w:hAnsiTheme="majorHAnsi" w:cstheme="majorHAnsi"/>
          <w:sz w:val="28"/>
          <w:szCs w:val="28"/>
        </w:rPr>
        <w:t xml:space="preserve"> </w:t>
      </w:r>
      <w:r w:rsidRPr="00733C28">
        <w:rPr>
          <w:rFonts w:asciiTheme="majorHAnsi" w:hAnsiTheme="majorHAnsi" w:cstheme="majorHAnsi"/>
          <w:sz w:val="28"/>
          <w:szCs w:val="28"/>
        </w:rPr>
        <w:t xml:space="preserve">the creation of </w:t>
      </w:r>
      <w:r w:rsidR="00A80AFF">
        <w:rPr>
          <w:rFonts w:asciiTheme="majorHAnsi" w:hAnsiTheme="majorHAnsi" w:cstheme="majorHAnsi"/>
          <w:sz w:val="28"/>
          <w:szCs w:val="28"/>
        </w:rPr>
        <w:t>“</w:t>
      </w:r>
      <w:r>
        <w:rPr>
          <w:rFonts w:asciiTheme="majorHAnsi" w:hAnsiTheme="majorHAnsi" w:cstheme="majorHAnsi"/>
          <w:sz w:val="28"/>
          <w:szCs w:val="28"/>
        </w:rPr>
        <w:t>o</w:t>
      </w:r>
      <w:r w:rsidRPr="00733C28">
        <w:rPr>
          <w:rFonts w:asciiTheme="majorHAnsi" w:hAnsiTheme="majorHAnsi" w:cstheme="majorHAnsi"/>
          <w:sz w:val="28"/>
          <w:szCs w:val="28"/>
        </w:rPr>
        <w:t xml:space="preserve">ne </w:t>
      </w:r>
      <w:r w:rsidR="009D6045">
        <w:rPr>
          <w:rFonts w:asciiTheme="majorHAnsi" w:hAnsiTheme="majorHAnsi" w:cstheme="majorHAnsi"/>
          <w:sz w:val="28"/>
          <w:szCs w:val="28"/>
        </w:rPr>
        <w:t>S</w:t>
      </w:r>
      <w:r w:rsidRPr="00733C28">
        <w:rPr>
          <w:rFonts w:asciiTheme="majorHAnsi" w:hAnsiTheme="majorHAnsi" w:cstheme="majorHAnsi"/>
          <w:sz w:val="28"/>
          <w:szCs w:val="28"/>
        </w:rPr>
        <w:t xml:space="preserve">upreme </w:t>
      </w:r>
      <w:r w:rsidR="009D6045">
        <w:rPr>
          <w:rFonts w:asciiTheme="majorHAnsi" w:hAnsiTheme="majorHAnsi" w:cstheme="majorHAnsi"/>
          <w:sz w:val="28"/>
          <w:szCs w:val="28"/>
        </w:rPr>
        <w:t>C</w:t>
      </w:r>
      <w:r w:rsidRPr="00733C28">
        <w:rPr>
          <w:rFonts w:asciiTheme="majorHAnsi" w:hAnsiTheme="majorHAnsi" w:cstheme="majorHAnsi"/>
          <w:sz w:val="28"/>
          <w:szCs w:val="28"/>
        </w:rPr>
        <w:t>ourt</w:t>
      </w:r>
      <w:r w:rsidR="00A80AFF">
        <w:rPr>
          <w:rFonts w:asciiTheme="majorHAnsi" w:hAnsiTheme="majorHAnsi" w:cstheme="majorHAnsi"/>
          <w:sz w:val="28"/>
          <w:szCs w:val="28"/>
        </w:rPr>
        <w:t>”</w:t>
      </w:r>
      <w:r w:rsidRPr="00733C28">
        <w:rPr>
          <w:rFonts w:asciiTheme="majorHAnsi" w:hAnsiTheme="majorHAnsi" w:cstheme="majorHAnsi"/>
          <w:sz w:val="28"/>
          <w:szCs w:val="28"/>
        </w:rPr>
        <w:t xml:space="preserve"> with vested judicial powers and also </w:t>
      </w:r>
      <w:r>
        <w:rPr>
          <w:rFonts w:asciiTheme="majorHAnsi" w:hAnsiTheme="majorHAnsi" w:cstheme="majorHAnsi"/>
          <w:sz w:val="28"/>
          <w:szCs w:val="28"/>
        </w:rPr>
        <w:t>vested</w:t>
      </w:r>
      <w:r w:rsidRPr="00733C28">
        <w:rPr>
          <w:rFonts w:asciiTheme="majorHAnsi" w:hAnsiTheme="majorHAnsi" w:cstheme="majorHAnsi"/>
          <w:sz w:val="28"/>
          <w:szCs w:val="28"/>
        </w:rPr>
        <w:t xml:space="preserve"> </w:t>
      </w:r>
      <w:r>
        <w:rPr>
          <w:rFonts w:asciiTheme="majorHAnsi" w:hAnsiTheme="majorHAnsi" w:cstheme="majorHAnsi"/>
          <w:sz w:val="28"/>
          <w:szCs w:val="28"/>
        </w:rPr>
        <w:t>c</w:t>
      </w:r>
      <w:r w:rsidRPr="00733C28">
        <w:rPr>
          <w:rFonts w:asciiTheme="majorHAnsi" w:hAnsiTheme="majorHAnsi" w:cstheme="majorHAnsi"/>
          <w:sz w:val="28"/>
          <w:szCs w:val="28"/>
        </w:rPr>
        <w:t xml:space="preserve">ongress with the authority to </w:t>
      </w:r>
      <w:r>
        <w:rPr>
          <w:rFonts w:asciiTheme="majorHAnsi" w:hAnsiTheme="majorHAnsi" w:cstheme="majorHAnsi"/>
          <w:sz w:val="28"/>
          <w:szCs w:val="28"/>
        </w:rPr>
        <w:t>create</w:t>
      </w:r>
      <w:r w:rsidRPr="00733C28">
        <w:rPr>
          <w:rFonts w:asciiTheme="majorHAnsi" w:hAnsiTheme="majorHAnsi" w:cstheme="majorHAnsi"/>
          <w:sz w:val="28"/>
          <w:szCs w:val="28"/>
        </w:rPr>
        <w:t xml:space="preserve"> and establish inferior courts under </w:t>
      </w:r>
      <w:r w:rsidRPr="009D6045">
        <w:rPr>
          <w:rFonts w:asciiTheme="majorHAnsi" w:eastAsia="Times New Roman" w:hAnsiTheme="majorHAnsi" w:cstheme="majorHAnsi"/>
          <w:sz w:val="28"/>
          <w:szCs w:val="28"/>
          <w:u w:val="single"/>
        </w:rPr>
        <w:t xml:space="preserve">Article </w:t>
      </w:r>
      <w:r w:rsidR="0043010B">
        <w:rPr>
          <w:rFonts w:asciiTheme="majorHAnsi" w:eastAsia="Times New Roman" w:hAnsiTheme="majorHAnsi" w:cstheme="majorHAnsi"/>
          <w:sz w:val="28"/>
          <w:szCs w:val="28"/>
          <w:u w:val="single"/>
        </w:rPr>
        <w:t xml:space="preserve">I </w:t>
      </w:r>
      <w:r w:rsidRPr="009D6045">
        <w:rPr>
          <w:rFonts w:asciiTheme="majorHAnsi" w:eastAsia="Times New Roman" w:hAnsiTheme="majorHAnsi" w:cstheme="majorHAnsi"/>
          <w:sz w:val="28"/>
          <w:szCs w:val="28"/>
          <w:u w:val="single"/>
        </w:rPr>
        <w:t xml:space="preserve">Section 8 </w:t>
      </w:r>
      <w:r w:rsidR="0043010B">
        <w:rPr>
          <w:rFonts w:asciiTheme="majorHAnsi" w:eastAsia="Times New Roman" w:hAnsiTheme="majorHAnsi" w:cstheme="majorHAnsi"/>
          <w:sz w:val="28"/>
          <w:szCs w:val="28"/>
          <w:u w:val="single"/>
        </w:rPr>
        <w:t xml:space="preserve">clause </w:t>
      </w:r>
      <w:r w:rsidRPr="009D6045">
        <w:rPr>
          <w:rFonts w:asciiTheme="majorHAnsi" w:eastAsia="Times New Roman" w:hAnsiTheme="majorHAnsi" w:cstheme="majorHAnsi"/>
          <w:sz w:val="28"/>
          <w:szCs w:val="28"/>
          <w:u w:val="single"/>
        </w:rPr>
        <w:t>9</w:t>
      </w:r>
      <w:r w:rsidRPr="00733C28">
        <w:rPr>
          <w:rStyle w:val="FootnoteReference"/>
          <w:rFonts w:asciiTheme="majorHAnsi" w:eastAsia="Times New Roman" w:hAnsiTheme="majorHAnsi" w:cstheme="majorHAnsi"/>
          <w:sz w:val="28"/>
          <w:szCs w:val="28"/>
        </w:rPr>
        <w:footnoteReference w:id="9"/>
      </w:r>
      <w:r w:rsidRPr="00733C28">
        <w:rPr>
          <w:rFonts w:asciiTheme="majorHAnsi" w:eastAsia="Times New Roman" w:hAnsiTheme="majorHAnsi" w:cstheme="majorHAnsi"/>
          <w:sz w:val="28"/>
          <w:szCs w:val="28"/>
        </w:rPr>
        <w:t xml:space="preserve"> </w:t>
      </w:r>
      <w:r w:rsidR="00CE0F1B">
        <w:rPr>
          <w:rFonts w:asciiTheme="majorHAnsi" w:eastAsia="Times New Roman" w:hAnsiTheme="majorHAnsi" w:cstheme="majorHAnsi"/>
          <w:sz w:val="28"/>
          <w:szCs w:val="28"/>
        </w:rPr>
        <w:t xml:space="preserve">we vested </w:t>
      </w:r>
      <w:r w:rsidRPr="00733C28">
        <w:rPr>
          <w:rFonts w:asciiTheme="majorHAnsi" w:eastAsia="Times New Roman" w:hAnsiTheme="majorHAnsi" w:cstheme="majorHAnsi"/>
          <w:sz w:val="28"/>
          <w:szCs w:val="28"/>
        </w:rPr>
        <w:t>the power to constitute tribunals inferior to the Supreme Court, which has supervisory control</w:t>
      </w:r>
      <w:r w:rsidRPr="00733C28">
        <w:rPr>
          <w:rStyle w:val="FootnoteReference"/>
          <w:rFonts w:asciiTheme="majorHAnsi" w:eastAsia="Times New Roman" w:hAnsiTheme="majorHAnsi" w:cstheme="majorHAnsi"/>
          <w:sz w:val="28"/>
          <w:szCs w:val="28"/>
        </w:rPr>
        <w:footnoteReference w:id="10"/>
      </w:r>
      <w:r w:rsidRPr="00733C28">
        <w:rPr>
          <w:rFonts w:asciiTheme="majorHAnsi" w:eastAsia="Times New Roman" w:hAnsiTheme="majorHAnsi" w:cstheme="majorHAnsi"/>
          <w:sz w:val="28"/>
          <w:szCs w:val="28"/>
        </w:rPr>
        <w:t xml:space="preserve"> over </w:t>
      </w:r>
      <w:r w:rsidR="009D6045">
        <w:rPr>
          <w:rFonts w:asciiTheme="majorHAnsi" w:eastAsia="Times New Roman" w:hAnsiTheme="majorHAnsi" w:cstheme="majorHAnsi"/>
          <w:sz w:val="28"/>
          <w:szCs w:val="28"/>
        </w:rPr>
        <w:t>said</w:t>
      </w:r>
      <w:r w:rsidRPr="00733C28">
        <w:rPr>
          <w:rFonts w:asciiTheme="majorHAnsi" w:eastAsia="Times New Roman" w:hAnsiTheme="majorHAnsi" w:cstheme="majorHAnsi"/>
          <w:sz w:val="28"/>
          <w:szCs w:val="28"/>
        </w:rPr>
        <w:t xml:space="preserve"> tribunals to prohibit them from acting outside their jurisdiction, and to reverse their extra-jurisdictional acts.</w:t>
      </w:r>
      <w:r w:rsidR="009D6045">
        <w:rPr>
          <w:rFonts w:asciiTheme="majorHAnsi" w:eastAsia="Times New Roman" w:hAnsiTheme="majorHAnsi" w:cstheme="majorHAnsi"/>
          <w:sz w:val="28"/>
          <w:szCs w:val="28"/>
        </w:rPr>
        <w:t xml:space="preserve"> Under </w:t>
      </w:r>
      <w:r w:rsidR="009D6045" w:rsidRPr="009D6045">
        <w:rPr>
          <w:rFonts w:asciiTheme="majorHAnsi" w:eastAsia="Times New Roman" w:hAnsiTheme="majorHAnsi" w:cstheme="majorHAnsi"/>
          <w:sz w:val="28"/>
          <w:szCs w:val="28"/>
          <w:u w:val="single"/>
        </w:rPr>
        <w:t>Article III Section 2</w:t>
      </w:r>
      <w:r w:rsidR="009D6045">
        <w:rPr>
          <w:rStyle w:val="FootnoteReference"/>
          <w:rFonts w:asciiTheme="majorHAnsi" w:eastAsia="Times New Roman" w:hAnsiTheme="majorHAnsi" w:cstheme="majorHAnsi"/>
          <w:sz w:val="28"/>
          <w:szCs w:val="28"/>
        </w:rPr>
        <w:footnoteReference w:id="11"/>
      </w:r>
      <w:r w:rsidR="009D6045">
        <w:rPr>
          <w:rFonts w:asciiTheme="majorHAnsi" w:eastAsia="Times New Roman" w:hAnsiTheme="majorHAnsi" w:cstheme="majorHAnsi"/>
          <w:sz w:val="28"/>
          <w:szCs w:val="28"/>
        </w:rPr>
        <w:t xml:space="preserve"> we defined t</w:t>
      </w:r>
      <w:r w:rsidR="009D6045" w:rsidRPr="009D6045">
        <w:rPr>
          <w:rFonts w:asciiTheme="majorHAnsi" w:eastAsia="Times New Roman" w:hAnsiTheme="majorHAnsi" w:cstheme="majorHAnsi"/>
          <w:sz w:val="28"/>
          <w:szCs w:val="28"/>
        </w:rPr>
        <w:t>he</w:t>
      </w:r>
      <w:r w:rsidR="009D6045">
        <w:rPr>
          <w:rFonts w:asciiTheme="majorHAnsi" w:eastAsia="Times New Roman" w:hAnsiTheme="majorHAnsi" w:cstheme="majorHAnsi"/>
          <w:sz w:val="28"/>
          <w:szCs w:val="28"/>
        </w:rPr>
        <w:t>ir</w:t>
      </w:r>
      <w:r w:rsidR="009D6045" w:rsidRPr="009D6045">
        <w:rPr>
          <w:rFonts w:asciiTheme="majorHAnsi" w:eastAsia="Times New Roman" w:hAnsiTheme="majorHAnsi" w:cstheme="majorHAnsi"/>
          <w:sz w:val="28"/>
          <w:szCs w:val="28"/>
        </w:rPr>
        <w:t xml:space="preserve"> judicial power </w:t>
      </w:r>
      <w:r w:rsidR="009D6045">
        <w:rPr>
          <w:rFonts w:asciiTheme="majorHAnsi" w:eastAsia="Times New Roman" w:hAnsiTheme="majorHAnsi" w:cstheme="majorHAnsi"/>
          <w:sz w:val="28"/>
          <w:szCs w:val="28"/>
        </w:rPr>
        <w:t>in</w:t>
      </w:r>
      <w:r w:rsidR="009D6045" w:rsidRPr="009D6045">
        <w:rPr>
          <w:rFonts w:asciiTheme="majorHAnsi" w:eastAsia="Times New Roman" w:hAnsiTheme="majorHAnsi" w:cstheme="majorHAnsi"/>
          <w:sz w:val="28"/>
          <w:szCs w:val="28"/>
        </w:rPr>
        <w:t xml:space="preserve"> all cases, in law and equity, arising under this Constitution</w:t>
      </w:r>
      <w:r w:rsidR="009D6045">
        <w:rPr>
          <w:rFonts w:asciiTheme="majorHAnsi" w:eastAsia="Times New Roman" w:hAnsiTheme="majorHAnsi" w:cstheme="majorHAnsi"/>
          <w:sz w:val="28"/>
          <w:szCs w:val="28"/>
        </w:rPr>
        <w:t>.</w:t>
      </w:r>
    </w:p>
    <w:p w:rsidR="004014B5" w:rsidRDefault="004014B5" w:rsidP="004014B5">
      <w:pPr>
        <w:jc w:val="both"/>
        <w:rPr>
          <w:rFonts w:asciiTheme="majorHAnsi" w:hAnsiTheme="majorHAnsi" w:cstheme="majorHAnsi"/>
          <w:szCs w:val="28"/>
        </w:rPr>
      </w:pPr>
      <w:r>
        <w:rPr>
          <w:rFonts w:asciiTheme="majorHAnsi" w:hAnsiTheme="majorHAnsi" w:cstheme="majorHAnsi"/>
          <w:szCs w:val="28"/>
        </w:rPr>
        <w:t>State run courts a/k/a ‘equity courts’ are nisi prius</w:t>
      </w:r>
      <w:r>
        <w:rPr>
          <w:rStyle w:val="FootnoteReference"/>
          <w:rFonts w:asciiTheme="majorHAnsi" w:hAnsiTheme="majorHAnsi" w:cstheme="majorHAnsi"/>
          <w:szCs w:val="28"/>
        </w:rPr>
        <w:footnoteReference w:id="12"/>
      </w:r>
      <w:r>
        <w:rPr>
          <w:rFonts w:asciiTheme="majorHAnsi" w:hAnsiTheme="majorHAnsi" w:cstheme="majorHAnsi"/>
          <w:szCs w:val="28"/>
        </w:rPr>
        <w:t xml:space="preserve"> courts presided over by judges (political servants) who rule according to regulations, statutes and codes or contracts, under American Jurisprudence. </w:t>
      </w:r>
      <w:r w:rsidR="0033668A">
        <w:rPr>
          <w:rFonts w:asciiTheme="majorHAnsi" w:hAnsiTheme="majorHAnsi" w:cstheme="majorHAnsi"/>
          <w:szCs w:val="28"/>
        </w:rPr>
        <w:t xml:space="preserve">Whereas </w:t>
      </w:r>
      <w:r>
        <w:rPr>
          <w:rFonts w:asciiTheme="majorHAnsi" w:hAnsiTheme="majorHAnsi" w:cstheme="majorHAnsi"/>
          <w:szCs w:val="28"/>
        </w:rPr>
        <w:t xml:space="preserve">Law courts are presided over by juries (the People) who rule according to Natural Law, no judges, regulations, statutes, </w:t>
      </w:r>
      <w:r w:rsidR="00CE0F1B">
        <w:rPr>
          <w:rFonts w:asciiTheme="majorHAnsi" w:hAnsiTheme="majorHAnsi" w:cstheme="majorHAnsi"/>
          <w:szCs w:val="28"/>
        </w:rPr>
        <w:t>or</w:t>
      </w:r>
      <w:r>
        <w:rPr>
          <w:rFonts w:asciiTheme="majorHAnsi" w:hAnsiTheme="majorHAnsi" w:cstheme="majorHAnsi"/>
          <w:szCs w:val="28"/>
        </w:rPr>
        <w:t xml:space="preserve"> codes permitted. Liberty is freedom from equity courts unless we agree. </w:t>
      </w:r>
      <w:r w:rsidR="00A80AFF">
        <w:rPr>
          <w:rFonts w:asciiTheme="majorHAnsi" w:hAnsiTheme="majorHAnsi" w:cstheme="majorHAnsi"/>
          <w:szCs w:val="28"/>
        </w:rPr>
        <w:t>“</w:t>
      </w:r>
      <w:r w:rsidRPr="00631904">
        <w:rPr>
          <w:rFonts w:asciiTheme="majorHAnsi" w:hAnsiTheme="majorHAnsi" w:cstheme="majorHAnsi"/>
          <w:szCs w:val="28"/>
        </w:rPr>
        <w:t>The state cannot diminish rights of the people.</w:t>
      </w:r>
      <w:r w:rsidR="00A80AFF">
        <w:rPr>
          <w:rFonts w:asciiTheme="majorHAnsi" w:hAnsiTheme="majorHAnsi" w:cstheme="majorHAnsi"/>
          <w:szCs w:val="28"/>
        </w:rPr>
        <w:t>”</w:t>
      </w:r>
      <w:r>
        <w:rPr>
          <w:rStyle w:val="FootnoteReference"/>
          <w:rFonts w:asciiTheme="majorHAnsi" w:hAnsiTheme="majorHAnsi" w:cstheme="majorHAnsi"/>
          <w:szCs w:val="28"/>
        </w:rPr>
        <w:footnoteReference w:id="13"/>
      </w:r>
      <w:r>
        <w:rPr>
          <w:rFonts w:asciiTheme="majorHAnsi" w:hAnsiTheme="majorHAnsi" w:cstheme="majorHAnsi"/>
          <w:szCs w:val="28"/>
        </w:rPr>
        <w:t xml:space="preserve"> </w:t>
      </w:r>
      <w:r w:rsidR="00A80AFF">
        <w:rPr>
          <w:rFonts w:asciiTheme="majorHAnsi" w:hAnsiTheme="majorHAnsi" w:cstheme="majorHAnsi"/>
          <w:szCs w:val="28"/>
        </w:rPr>
        <w:t>“</w:t>
      </w:r>
      <w:r w:rsidRPr="00631904">
        <w:rPr>
          <w:rFonts w:asciiTheme="majorHAnsi" w:hAnsiTheme="majorHAnsi" w:cstheme="majorHAnsi"/>
          <w:szCs w:val="28"/>
        </w:rPr>
        <w:t>No authority can, on any pretense whatsoever, be exercised over the citizens of this state, but such as is or shall be derived from and granted by the people of this state.</w:t>
      </w:r>
      <w:r w:rsidR="00A80AFF">
        <w:rPr>
          <w:rFonts w:asciiTheme="majorHAnsi" w:hAnsiTheme="majorHAnsi" w:cstheme="majorHAnsi"/>
          <w:szCs w:val="28"/>
        </w:rPr>
        <w:t>”</w:t>
      </w:r>
      <w:r>
        <w:rPr>
          <w:rStyle w:val="FootnoteReference"/>
          <w:rFonts w:asciiTheme="majorHAnsi" w:hAnsiTheme="majorHAnsi" w:cstheme="majorHAnsi"/>
          <w:szCs w:val="28"/>
        </w:rPr>
        <w:footnoteReference w:id="14"/>
      </w:r>
      <w:r>
        <w:rPr>
          <w:rFonts w:asciiTheme="majorHAnsi" w:hAnsiTheme="majorHAnsi" w:cstheme="majorHAnsi"/>
          <w:szCs w:val="28"/>
        </w:rPr>
        <w:t xml:space="preserve"> </w:t>
      </w:r>
      <w:r w:rsidR="00A80AFF">
        <w:rPr>
          <w:rFonts w:asciiTheme="majorHAnsi" w:hAnsiTheme="majorHAnsi" w:cstheme="majorHAnsi"/>
          <w:szCs w:val="28"/>
        </w:rPr>
        <w:t>“</w:t>
      </w:r>
      <w:r w:rsidRPr="00631904">
        <w:rPr>
          <w:rFonts w:asciiTheme="majorHAnsi" w:hAnsiTheme="majorHAnsi" w:cstheme="majorHAnsi"/>
          <w:szCs w:val="28"/>
        </w:rPr>
        <w:t xml:space="preserve">The very meaning of </w:t>
      </w:r>
      <w:r>
        <w:rPr>
          <w:rFonts w:asciiTheme="majorHAnsi" w:hAnsiTheme="majorHAnsi" w:cstheme="majorHAnsi"/>
          <w:szCs w:val="28"/>
        </w:rPr>
        <w:t>‘</w:t>
      </w:r>
      <w:r w:rsidRPr="00631904">
        <w:rPr>
          <w:rFonts w:asciiTheme="majorHAnsi" w:hAnsiTheme="majorHAnsi" w:cstheme="majorHAnsi"/>
          <w:szCs w:val="28"/>
        </w:rPr>
        <w:t>sovereignty</w:t>
      </w:r>
      <w:r>
        <w:rPr>
          <w:rFonts w:asciiTheme="majorHAnsi" w:hAnsiTheme="majorHAnsi" w:cstheme="majorHAnsi"/>
          <w:szCs w:val="28"/>
        </w:rPr>
        <w:t>’</w:t>
      </w:r>
      <w:r w:rsidRPr="00631904">
        <w:rPr>
          <w:rFonts w:asciiTheme="majorHAnsi" w:hAnsiTheme="majorHAnsi" w:cstheme="majorHAnsi"/>
          <w:szCs w:val="28"/>
        </w:rPr>
        <w:t xml:space="preserve"> is that the decree of the sovereign makes law.</w:t>
      </w:r>
      <w:r w:rsidR="00A80AFF">
        <w:rPr>
          <w:rFonts w:asciiTheme="majorHAnsi" w:hAnsiTheme="majorHAnsi" w:cstheme="majorHAnsi"/>
          <w:szCs w:val="28"/>
        </w:rPr>
        <w:t>”</w:t>
      </w:r>
      <w:r>
        <w:rPr>
          <w:rStyle w:val="FootnoteReference"/>
          <w:rFonts w:asciiTheme="majorHAnsi" w:hAnsiTheme="majorHAnsi" w:cstheme="majorHAnsi"/>
          <w:szCs w:val="28"/>
        </w:rPr>
        <w:footnoteReference w:id="15"/>
      </w:r>
      <w:r>
        <w:rPr>
          <w:rFonts w:asciiTheme="majorHAnsi" w:hAnsiTheme="majorHAnsi" w:cstheme="majorHAnsi"/>
          <w:szCs w:val="28"/>
        </w:rPr>
        <w:t xml:space="preserve"> </w:t>
      </w:r>
      <w:r w:rsidR="00A80AFF">
        <w:rPr>
          <w:rFonts w:asciiTheme="majorHAnsi" w:hAnsiTheme="majorHAnsi" w:cstheme="majorHAnsi"/>
          <w:szCs w:val="28"/>
        </w:rPr>
        <w:t>“</w:t>
      </w:r>
      <w:r w:rsidRPr="00631904">
        <w:rPr>
          <w:rFonts w:asciiTheme="majorHAnsi" w:hAnsiTheme="majorHAnsi" w:cstheme="majorHAnsi"/>
          <w:szCs w:val="28"/>
        </w:rPr>
        <w:t>Where rights secured by the Constitution are involved, there can be no rule making or legislation which would abrogate them.</w:t>
      </w:r>
      <w:r w:rsidR="00A80AFF">
        <w:rPr>
          <w:rFonts w:asciiTheme="majorHAnsi" w:hAnsiTheme="majorHAnsi" w:cstheme="majorHAnsi"/>
          <w:szCs w:val="28"/>
        </w:rPr>
        <w:t>”</w:t>
      </w:r>
      <w:r>
        <w:rPr>
          <w:rStyle w:val="FootnoteReference"/>
          <w:rFonts w:asciiTheme="majorHAnsi" w:hAnsiTheme="majorHAnsi" w:cstheme="majorHAnsi"/>
          <w:szCs w:val="28"/>
        </w:rPr>
        <w:footnoteReference w:id="16"/>
      </w:r>
      <w:r w:rsidRPr="00631904">
        <w:rPr>
          <w:rFonts w:asciiTheme="majorHAnsi" w:hAnsiTheme="majorHAnsi" w:cstheme="majorHAnsi"/>
          <w:szCs w:val="28"/>
        </w:rPr>
        <w:t xml:space="preserve"> </w:t>
      </w:r>
    </w:p>
    <w:p w:rsidR="001E6988" w:rsidRDefault="001E6988" w:rsidP="004014B5">
      <w:pPr>
        <w:jc w:val="both"/>
        <w:rPr>
          <w:rFonts w:asciiTheme="majorHAnsi" w:hAnsiTheme="majorHAnsi" w:cstheme="majorHAnsi"/>
          <w:szCs w:val="28"/>
        </w:rPr>
      </w:pPr>
      <w:r>
        <w:rPr>
          <w:rFonts w:asciiTheme="majorHAnsi" w:hAnsiTheme="majorHAnsi" w:cstheme="majorHAnsi"/>
          <w:szCs w:val="28"/>
        </w:rPr>
        <w:lastRenderedPageBreak/>
        <w:t xml:space="preserve">There </w:t>
      </w:r>
      <w:r w:rsidR="00757B6E">
        <w:rPr>
          <w:rFonts w:asciiTheme="majorHAnsi" w:hAnsiTheme="majorHAnsi" w:cstheme="majorHAnsi"/>
          <w:szCs w:val="28"/>
        </w:rPr>
        <w:t>are human made laws</w:t>
      </w:r>
      <w:r>
        <w:rPr>
          <w:rFonts w:asciiTheme="majorHAnsi" w:hAnsiTheme="majorHAnsi" w:cstheme="majorHAnsi"/>
          <w:szCs w:val="28"/>
        </w:rPr>
        <w:t xml:space="preserve">, a/k/a positive law, </w:t>
      </w:r>
      <w:r w:rsidR="00757B6E">
        <w:rPr>
          <w:rFonts w:asciiTheme="majorHAnsi" w:hAnsiTheme="majorHAnsi" w:cstheme="majorHAnsi"/>
          <w:szCs w:val="28"/>
        </w:rPr>
        <w:t xml:space="preserve">whereas Congress </w:t>
      </w:r>
      <w:proofErr w:type="gramStart"/>
      <w:r w:rsidR="00757B6E">
        <w:rPr>
          <w:rFonts w:asciiTheme="majorHAnsi" w:hAnsiTheme="majorHAnsi" w:cstheme="majorHAnsi"/>
          <w:szCs w:val="28"/>
        </w:rPr>
        <w:t>legislated</w:t>
      </w:r>
      <w:proofErr w:type="gramEnd"/>
      <w:r w:rsidR="00757B6E">
        <w:rPr>
          <w:rFonts w:asciiTheme="majorHAnsi" w:hAnsiTheme="majorHAnsi" w:cstheme="majorHAnsi"/>
          <w:szCs w:val="28"/>
        </w:rPr>
        <w:t xml:space="preserve"> regulations, statutes, and codes as per Article I Section 8 to control commercial and political behavior</w:t>
      </w:r>
      <w:r w:rsidR="007E55D9">
        <w:rPr>
          <w:rFonts w:asciiTheme="majorHAnsi" w:hAnsiTheme="majorHAnsi" w:cstheme="majorHAnsi"/>
          <w:szCs w:val="28"/>
        </w:rPr>
        <w:t xml:space="preserve"> in courts’ of equity.</w:t>
      </w:r>
      <w:r w:rsidR="00757B6E">
        <w:rPr>
          <w:rFonts w:asciiTheme="majorHAnsi" w:hAnsiTheme="majorHAnsi" w:cstheme="majorHAnsi"/>
          <w:szCs w:val="28"/>
        </w:rPr>
        <w:t xml:space="preserve"> And there is Natural Law, a/k/a Common Law, whereas Congress has no authority to legislate regulations, statutes, and codes to control the Peoples’ behavior.</w:t>
      </w:r>
      <w:r w:rsidR="007E55D9">
        <w:rPr>
          <w:rFonts w:asciiTheme="majorHAnsi" w:hAnsiTheme="majorHAnsi" w:cstheme="majorHAnsi"/>
          <w:szCs w:val="28"/>
        </w:rPr>
        <w:t xml:space="preserve"> Natural Law Courts proceed in Courts’ of Law</w:t>
      </w:r>
      <w:r w:rsidR="00A80AFF">
        <w:rPr>
          <w:rFonts w:asciiTheme="majorHAnsi" w:hAnsiTheme="majorHAnsi" w:cstheme="majorHAnsi"/>
          <w:szCs w:val="28"/>
        </w:rPr>
        <w:t>.</w:t>
      </w:r>
      <w:r w:rsidR="007E55D9">
        <w:rPr>
          <w:rFonts w:asciiTheme="majorHAnsi" w:hAnsiTheme="majorHAnsi" w:cstheme="majorHAnsi"/>
          <w:szCs w:val="28"/>
        </w:rPr>
        <w:t xml:space="preserve"> </w:t>
      </w:r>
    </w:p>
    <w:p w:rsidR="001E6988" w:rsidRPr="00757B6E" w:rsidRDefault="004A0A89" w:rsidP="004A0A89">
      <w:pPr>
        <w:pStyle w:val="Style"/>
        <w:spacing w:after="240" w:line="276" w:lineRule="auto"/>
        <w:jc w:val="both"/>
        <w:rPr>
          <w:rFonts w:asciiTheme="majorHAnsi" w:eastAsia="Times New Roman" w:hAnsiTheme="majorHAnsi" w:cstheme="majorHAnsi"/>
          <w:sz w:val="28"/>
          <w:szCs w:val="28"/>
        </w:rPr>
      </w:pPr>
      <w:r w:rsidRPr="00757B6E">
        <w:rPr>
          <w:rFonts w:asciiTheme="majorHAnsi" w:eastAsia="Times New Roman" w:hAnsiTheme="majorHAnsi" w:cstheme="majorHAnsi"/>
          <w:sz w:val="28"/>
          <w:szCs w:val="28"/>
        </w:rPr>
        <w:t xml:space="preserve">Congress </w:t>
      </w:r>
      <w:r w:rsidR="001E6988" w:rsidRPr="00757B6E">
        <w:rPr>
          <w:rFonts w:asciiTheme="majorHAnsi" w:eastAsia="Times New Roman" w:hAnsiTheme="majorHAnsi" w:cstheme="majorHAnsi"/>
          <w:sz w:val="28"/>
          <w:szCs w:val="28"/>
        </w:rPr>
        <w:t xml:space="preserve">constitutionally </w:t>
      </w:r>
      <w:r w:rsidRPr="00757B6E">
        <w:rPr>
          <w:rFonts w:asciiTheme="majorHAnsi" w:eastAsia="Times New Roman" w:hAnsiTheme="majorHAnsi" w:cstheme="majorHAnsi"/>
          <w:sz w:val="28"/>
          <w:szCs w:val="28"/>
        </w:rPr>
        <w:t xml:space="preserve">created </w:t>
      </w:r>
      <w:r w:rsidR="001E6988" w:rsidRPr="00757B6E">
        <w:rPr>
          <w:rFonts w:asciiTheme="majorHAnsi" w:eastAsia="Times New Roman" w:hAnsiTheme="majorHAnsi" w:cstheme="majorHAnsi"/>
          <w:sz w:val="28"/>
          <w:szCs w:val="28"/>
        </w:rPr>
        <w:t xml:space="preserve">94 </w:t>
      </w:r>
      <w:r w:rsidR="001E6988" w:rsidRPr="00757B6E">
        <w:rPr>
          <w:sz w:val="28"/>
          <w:szCs w:val="28"/>
          <w:u w:val="thick"/>
        </w:rPr>
        <w:t>Courts’ of Record</w:t>
      </w:r>
      <w:r w:rsidR="001E6988" w:rsidRPr="00757B6E">
        <w:rPr>
          <w:sz w:val="28"/>
          <w:szCs w:val="28"/>
        </w:rPr>
        <w:t xml:space="preserve"> known as United States District Courts. Courts</w:t>
      </w:r>
      <w:r w:rsidR="007E55D9">
        <w:rPr>
          <w:sz w:val="28"/>
          <w:szCs w:val="28"/>
        </w:rPr>
        <w:t>’</w:t>
      </w:r>
      <w:r w:rsidR="001E6988" w:rsidRPr="00757B6E">
        <w:rPr>
          <w:sz w:val="28"/>
          <w:szCs w:val="28"/>
        </w:rPr>
        <w:t xml:space="preserve"> of Record</w:t>
      </w:r>
      <w:r w:rsidR="007E55D9">
        <w:rPr>
          <w:rStyle w:val="FootnoteReference"/>
          <w:sz w:val="28"/>
          <w:szCs w:val="28"/>
        </w:rPr>
        <w:footnoteReference w:id="17"/>
      </w:r>
      <w:r w:rsidR="001E6988" w:rsidRPr="00757B6E">
        <w:rPr>
          <w:sz w:val="28"/>
          <w:szCs w:val="28"/>
        </w:rPr>
        <w:t xml:space="preserve"> are ‘Natural Law</w:t>
      </w:r>
      <w:r w:rsidR="007E55D9">
        <w:rPr>
          <w:rStyle w:val="FootnoteReference"/>
          <w:sz w:val="28"/>
          <w:szCs w:val="28"/>
        </w:rPr>
        <w:footnoteReference w:id="18"/>
      </w:r>
      <w:r w:rsidR="001E6988" w:rsidRPr="00757B6E">
        <w:rPr>
          <w:sz w:val="28"/>
          <w:szCs w:val="28"/>
        </w:rPr>
        <w:t xml:space="preserve"> Courts’</w:t>
      </w:r>
      <w:r w:rsidR="00757B6E" w:rsidRPr="00757B6E">
        <w:rPr>
          <w:sz w:val="28"/>
          <w:szCs w:val="28"/>
        </w:rPr>
        <w:t xml:space="preserve"> that proceed according to the Common Law without </w:t>
      </w:r>
      <w:r w:rsidR="00757B6E" w:rsidRPr="00757B6E">
        <w:rPr>
          <w:rFonts w:asciiTheme="majorHAnsi" w:hAnsiTheme="majorHAnsi" w:cstheme="majorHAnsi"/>
          <w:sz w:val="28"/>
          <w:szCs w:val="28"/>
        </w:rPr>
        <w:t xml:space="preserve">regulations, statutes, and codes </w:t>
      </w:r>
      <w:r w:rsidR="00757B6E">
        <w:rPr>
          <w:rFonts w:asciiTheme="majorHAnsi" w:hAnsiTheme="majorHAnsi" w:cstheme="majorHAnsi"/>
          <w:sz w:val="28"/>
          <w:szCs w:val="28"/>
        </w:rPr>
        <w:t>and is presided over by the People via Juries</w:t>
      </w:r>
      <w:r w:rsidR="00281BB6">
        <w:rPr>
          <w:rFonts w:asciiTheme="majorHAnsi" w:hAnsiTheme="majorHAnsi" w:cstheme="majorHAnsi"/>
          <w:sz w:val="28"/>
          <w:szCs w:val="28"/>
        </w:rPr>
        <w:t>, who are to decide all issues.</w:t>
      </w:r>
    </w:p>
    <w:p w:rsidR="001E6988" w:rsidRPr="003B7CCB" w:rsidRDefault="001E6988" w:rsidP="001E6988">
      <w:pPr>
        <w:pStyle w:val="Style"/>
        <w:spacing w:after="240"/>
        <w:ind w:left="720" w:right="36"/>
        <w:jc w:val="both"/>
      </w:pPr>
      <w:r w:rsidRPr="003B7CCB">
        <w:rPr>
          <w:b/>
        </w:rPr>
        <w:t>28 U.S. Code § 132</w:t>
      </w:r>
      <w:r w:rsidR="00CE0F1B" w:rsidRPr="003B7CCB">
        <w:rPr>
          <w:b/>
        </w:rPr>
        <w:t>:</w:t>
      </w:r>
      <w:r w:rsidRPr="003B7CCB">
        <w:t xml:space="preserve"> Creation and composition of district courts</w:t>
      </w:r>
      <w:r w:rsidR="00CE0F1B" w:rsidRPr="003B7CCB">
        <w:t>;</w:t>
      </w:r>
      <w:r w:rsidRPr="003B7CCB">
        <w:t xml:space="preserve"> (a) There shall be in each judicial district a district court which shall be a court of record known as the </w:t>
      </w:r>
      <w:r w:rsidRPr="003B7CCB">
        <w:rPr>
          <w:u w:val="single"/>
        </w:rPr>
        <w:t>United States District Court for the district</w:t>
      </w:r>
      <w:r w:rsidRPr="003B7CCB">
        <w:t>. (b) Each district court shall consist of the district judge or judges for the district in regular active service. Justices or judges designated or assigned shall be competent to sit as judges of the court. (c) Except as otherwise provided by law, or rule or order of court, the judicial power of a district court with respect to any action, suit or proceeding may be exercised by a single judge, who may preside alone and hold a regular or special session of court at the same time other sessions are held by other judges.</w:t>
      </w:r>
    </w:p>
    <w:p w:rsidR="004014B5" w:rsidRDefault="00A80AFF" w:rsidP="004A0A89">
      <w:pPr>
        <w:pStyle w:val="Style"/>
        <w:spacing w:after="240"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w:t>
      </w:r>
      <w:r w:rsidR="007E55D9" w:rsidRPr="007E55D9">
        <w:rPr>
          <w:rFonts w:asciiTheme="majorHAnsi" w:eastAsia="Times New Roman" w:hAnsiTheme="majorHAnsi" w:cstheme="majorHAnsi"/>
          <w:sz w:val="28"/>
          <w:szCs w:val="28"/>
        </w:rPr>
        <w:t>The decisions of a superior court may only be challenged in a court of appeal. The decisions of an inferior court are subject to collateral attack. In other words, in a superior court</w:t>
      </w:r>
      <w:r w:rsidR="00CE0F1B">
        <w:rPr>
          <w:rFonts w:asciiTheme="majorHAnsi" w:eastAsia="Times New Roman" w:hAnsiTheme="majorHAnsi" w:cstheme="majorHAnsi"/>
          <w:sz w:val="28"/>
          <w:szCs w:val="28"/>
        </w:rPr>
        <w:t>,</w:t>
      </w:r>
      <w:r w:rsidR="007E55D9" w:rsidRPr="007E55D9">
        <w:rPr>
          <w:rFonts w:asciiTheme="majorHAnsi" w:eastAsia="Times New Roman" w:hAnsiTheme="majorHAnsi" w:cstheme="majorHAnsi"/>
          <w:sz w:val="28"/>
          <w:szCs w:val="28"/>
        </w:rPr>
        <w:t xml:space="preserve"> one may sue an inferior court directly, rather than resort to appeal to an appellate court. Decision</w:t>
      </w:r>
      <w:r w:rsidR="00CE0F1B">
        <w:rPr>
          <w:rFonts w:asciiTheme="majorHAnsi" w:eastAsia="Times New Roman" w:hAnsiTheme="majorHAnsi" w:cstheme="majorHAnsi"/>
          <w:sz w:val="28"/>
          <w:szCs w:val="28"/>
        </w:rPr>
        <w:t>s</w:t>
      </w:r>
      <w:r w:rsidR="007E55D9" w:rsidRPr="007E55D9">
        <w:rPr>
          <w:rFonts w:asciiTheme="majorHAnsi" w:eastAsia="Times New Roman" w:hAnsiTheme="majorHAnsi" w:cstheme="majorHAnsi"/>
          <w:sz w:val="28"/>
          <w:szCs w:val="28"/>
        </w:rPr>
        <w:t xml:space="preserve"> of a court of record may not be appealed. It is binding on ALL other courts. However, no statutory or constitutional court (whether it be an appellate or </w:t>
      </w:r>
      <w:r w:rsidR="00FD6F4C" w:rsidRPr="007E55D9">
        <w:rPr>
          <w:rFonts w:asciiTheme="majorHAnsi" w:eastAsia="Times New Roman" w:hAnsiTheme="majorHAnsi" w:cstheme="majorHAnsi"/>
          <w:sz w:val="28"/>
          <w:szCs w:val="28"/>
        </w:rPr>
        <w:t>Supreme Court</w:t>
      </w:r>
      <w:r w:rsidR="007E55D9" w:rsidRPr="007E55D9">
        <w:rPr>
          <w:rFonts w:asciiTheme="majorHAnsi" w:eastAsia="Times New Roman" w:hAnsiTheme="majorHAnsi" w:cstheme="majorHAnsi"/>
          <w:sz w:val="28"/>
          <w:szCs w:val="28"/>
        </w:rPr>
        <w:t xml:space="preserve">) can second guess the judgment of a court of record. </w:t>
      </w:r>
      <w:r>
        <w:rPr>
          <w:rFonts w:asciiTheme="majorHAnsi" w:eastAsia="Times New Roman" w:hAnsiTheme="majorHAnsi" w:cstheme="majorHAnsi"/>
          <w:sz w:val="28"/>
          <w:szCs w:val="28"/>
        </w:rPr>
        <w:t>“</w:t>
      </w:r>
      <w:r w:rsidR="007E55D9" w:rsidRPr="007E55D9">
        <w:rPr>
          <w:rFonts w:asciiTheme="majorHAnsi" w:eastAsia="Times New Roman" w:hAnsiTheme="majorHAnsi" w:cstheme="majorHAnsi"/>
          <w:sz w:val="28"/>
          <w:szCs w:val="28"/>
        </w:rPr>
        <w:t xml:space="preserve">The judgment of a court of </w:t>
      </w:r>
      <w:r w:rsidR="00FD6F4C" w:rsidRPr="007E55D9">
        <w:rPr>
          <w:rFonts w:asciiTheme="majorHAnsi" w:eastAsia="Times New Roman" w:hAnsiTheme="majorHAnsi" w:cstheme="majorHAnsi"/>
          <w:sz w:val="28"/>
          <w:szCs w:val="28"/>
        </w:rPr>
        <w:t>record,</w:t>
      </w:r>
      <w:r w:rsidR="007E55D9" w:rsidRPr="007E55D9">
        <w:rPr>
          <w:rFonts w:asciiTheme="majorHAnsi" w:eastAsia="Times New Roman" w:hAnsiTheme="majorHAnsi" w:cstheme="majorHAnsi"/>
          <w:sz w:val="28"/>
          <w:szCs w:val="28"/>
        </w:rPr>
        <w:t xml:space="preserve"> whose jurisdiction is final, is as conclusive on </w:t>
      </w:r>
      <w:proofErr w:type="gramStart"/>
      <w:r w:rsidR="007E55D9" w:rsidRPr="007E55D9">
        <w:rPr>
          <w:rFonts w:asciiTheme="majorHAnsi" w:eastAsia="Times New Roman" w:hAnsiTheme="majorHAnsi" w:cstheme="majorHAnsi"/>
          <w:sz w:val="28"/>
          <w:szCs w:val="28"/>
        </w:rPr>
        <w:t>all the</w:t>
      </w:r>
      <w:proofErr w:type="gramEnd"/>
      <w:r w:rsidR="007E55D9" w:rsidRPr="007E55D9">
        <w:rPr>
          <w:rFonts w:asciiTheme="majorHAnsi" w:eastAsia="Times New Roman" w:hAnsiTheme="majorHAnsi" w:cstheme="majorHAnsi"/>
          <w:sz w:val="28"/>
          <w:szCs w:val="28"/>
        </w:rPr>
        <w:t xml:space="preserve"> world as the judgment of this court would be. It is as conclusive on this court as it is on other courts. It puts an end to inquiry concerning the fact, by deciding it.</w:t>
      </w:r>
      <w:r>
        <w:rPr>
          <w:rFonts w:asciiTheme="majorHAnsi" w:eastAsia="Times New Roman" w:hAnsiTheme="majorHAnsi" w:cstheme="majorHAnsi"/>
          <w:sz w:val="28"/>
          <w:szCs w:val="28"/>
        </w:rPr>
        <w:t>”</w:t>
      </w:r>
      <w:r w:rsidR="007E55D9">
        <w:rPr>
          <w:rStyle w:val="FootnoteReference"/>
          <w:rFonts w:asciiTheme="majorHAnsi" w:eastAsia="Times New Roman" w:hAnsiTheme="majorHAnsi" w:cstheme="majorHAnsi"/>
          <w:sz w:val="28"/>
          <w:szCs w:val="28"/>
        </w:rPr>
        <w:footnoteReference w:id="19"/>
      </w:r>
    </w:p>
    <w:p w:rsidR="0048300C" w:rsidRDefault="0048300C" w:rsidP="004A0A89">
      <w:pPr>
        <w:pStyle w:val="Style"/>
        <w:spacing w:after="240" w:line="276" w:lineRule="auto"/>
        <w:jc w:val="both"/>
        <w:rPr>
          <w:rFonts w:asciiTheme="majorHAnsi" w:eastAsia="Times New Roman" w:hAnsiTheme="majorHAnsi" w:cstheme="majorHAnsi"/>
          <w:sz w:val="28"/>
          <w:szCs w:val="28"/>
        </w:rPr>
      </w:pPr>
    </w:p>
    <w:p w:rsidR="008B33C3" w:rsidRPr="00997713" w:rsidRDefault="00CA1086" w:rsidP="00576E4A">
      <w:pPr>
        <w:jc w:val="center"/>
        <w:rPr>
          <w:rFonts w:cs="Times New Roman"/>
          <w:b/>
          <w:szCs w:val="28"/>
        </w:rPr>
      </w:pPr>
      <w:r>
        <w:rPr>
          <w:rFonts w:cs="Times New Roman"/>
          <w:b/>
          <w:szCs w:val="28"/>
        </w:rPr>
        <w:lastRenderedPageBreak/>
        <w:t xml:space="preserve">WHEN </w:t>
      </w:r>
      <w:r w:rsidR="008B33C3" w:rsidRPr="00997713">
        <w:rPr>
          <w:rFonts w:cs="Times New Roman"/>
          <w:b/>
          <w:szCs w:val="28"/>
        </w:rPr>
        <w:t>COURTS RESIST THE CONSTITUTION</w:t>
      </w:r>
    </w:p>
    <w:p w:rsidR="008B33C3" w:rsidRPr="004C2382" w:rsidRDefault="00A80AFF" w:rsidP="007D62D2">
      <w:pPr>
        <w:tabs>
          <w:tab w:val="left" w:pos="9900"/>
        </w:tabs>
        <w:ind w:right="36"/>
        <w:jc w:val="both"/>
        <w:rPr>
          <w:rFonts w:cs="Times New Roman"/>
        </w:rPr>
      </w:pPr>
      <w:r>
        <w:rPr>
          <w:rFonts w:cs="Times New Roman"/>
        </w:rPr>
        <w:t>“</w:t>
      </w:r>
      <w:r w:rsidR="008B33C3" w:rsidRPr="004C2382">
        <w:rPr>
          <w:rFonts w:cs="Times New Roman"/>
        </w:rPr>
        <w:t>It will be an evil day for American Liberty if the theory of a government outside supreme law finds lodgment in our constitutional jurisprudence. No higher duty rests upon this Court than to exert its full authority to prevent all violations of the principles of the Constitution.</w:t>
      </w:r>
      <w:r>
        <w:rPr>
          <w:rFonts w:cs="Times New Roman"/>
        </w:rPr>
        <w:t>”</w:t>
      </w:r>
      <w:r w:rsidR="007D62D2" w:rsidRPr="004C2382">
        <w:rPr>
          <w:rStyle w:val="FootnoteReference"/>
          <w:rFonts w:cs="Times New Roman"/>
        </w:rPr>
        <w:footnoteReference w:id="20"/>
      </w:r>
      <w:r w:rsidR="008B33C3" w:rsidRPr="004C2382">
        <w:rPr>
          <w:rFonts w:cs="Times New Roman"/>
        </w:rPr>
        <w:t xml:space="preserve"> </w:t>
      </w:r>
      <w:r>
        <w:rPr>
          <w:rFonts w:cs="Times New Roman"/>
        </w:rPr>
        <w:t>“</w:t>
      </w:r>
      <w:r w:rsidR="008B33C3" w:rsidRPr="004C2382">
        <w:rPr>
          <w:rFonts w:cs="Times New Roman"/>
        </w:rPr>
        <w:t xml:space="preserve">If then the courts are to regard the constitution; and the constitution is superior to any ordinary act of the legislature; the constitution, and not such ordinary act, must govern the case to which they both apply. Those then who resist the principle that the constitution is to be considered, in court, as a paramount law, are reduced to the necessity of maintaining that courts must close their eyes on the constitution, and see only the law. This doctrine would subvert the very foundation of all written constitutions. It would declare that an act, which, according to the principles and theory of our government, is entirely void, is yet, in practice, completely obligatory. It would declare that if the legislature shall do what is expressly forbidden, such act, notwithstanding the express prohibition, is in reality effectual. It would be giving to the legislature a practical and real omnipotence with the same breath which professes to restrict their powers within narrow limits. It is prescribing limits, and declaring that those limits may be passed at pleasure... Thus, the particular phraseology of the constitution of the United States confirms and strengthens the principle, supposed to be essential to all written constitutions, that a law repugnant to the constitution is void, and </w:t>
      </w:r>
      <w:proofErr w:type="gramStart"/>
      <w:r w:rsidR="008B33C3" w:rsidRPr="004C2382">
        <w:rPr>
          <w:rFonts w:cs="Times New Roman"/>
        </w:rPr>
        <w:t>that courts</w:t>
      </w:r>
      <w:proofErr w:type="gramEnd"/>
      <w:r w:rsidR="008B33C3" w:rsidRPr="004C2382">
        <w:rPr>
          <w:rFonts w:cs="Times New Roman"/>
        </w:rPr>
        <w:t>, as well as other departments, are bound by that instrument.</w:t>
      </w:r>
      <w:r>
        <w:rPr>
          <w:rFonts w:cs="Times New Roman"/>
        </w:rPr>
        <w:t>”</w:t>
      </w:r>
      <w:r w:rsidR="007D62D2" w:rsidRPr="004C2382">
        <w:rPr>
          <w:rStyle w:val="FootnoteReference"/>
          <w:rFonts w:cs="Times New Roman"/>
        </w:rPr>
        <w:footnoteReference w:id="21"/>
      </w:r>
      <w:r w:rsidR="008B33C3" w:rsidRPr="004C2382">
        <w:rPr>
          <w:rFonts w:cs="Times New Roman"/>
        </w:rPr>
        <w:t xml:space="preserve"> </w:t>
      </w:r>
    </w:p>
    <w:p w:rsidR="008B33C3" w:rsidRDefault="00A80AFF" w:rsidP="00576E4A">
      <w:pPr>
        <w:jc w:val="both"/>
        <w:rPr>
          <w:rFonts w:cs="Times New Roman"/>
        </w:rPr>
      </w:pPr>
      <w:r>
        <w:rPr>
          <w:rFonts w:cs="Times New Roman"/>
        </w:rPr>
        <w:t>“</w:t>
      </w:r>
      <w:r w:rsidR="009271A9" w:rsidRPr="004C2382">
        <w:rPr>
          <w:rFonts w:cs="Times New Roman"/>
        </w:rPr>
        <w:t>That statute which would deprive a citizen of the rights of person or property without a regular trial, according to the course and usage of common law, would not be the law of the land.</w:t>
      </w:r>
      <w:r>
        <w:rPr>
          <w:rFonts w:cs="Times New Roman"/>
        </w:rPr>
        <w:t>”</w:t>
      </w:r>
      <w:r w:rsidR="009271A9" w:rsidRPr="004C2382">
        <w:rPr>
          <w:rStyle w:val="FootnoteReference"/>
          <w:rFonts w:cs="Times New Roman"/>
        </w:rPr>
        <w:footnoteReference w:id="22"/>
      </w:r>
      <w:r w:rsidR="009271A9" w:rsidRPr="004C2382">
        <w:rPr>
          <w:rFonts w:cs="Times New Roman"/>
        </w:rPr>
        <w:t xml:space="preserve"> </w:t>
      </w:r>
      <w:r>
        <w:rPr>
          <w:rFonts w:cs="Times New Roman"/>
        </w:rPr>
        <w:t>“</w:t>
      </w:r>
      <w:r w:rsidR="008B33C3" w:rsidRPr="004C2382">
        <w:rPr>
          <w:rFonts w:cs="Times New Roman"/>
        </w:rPr>
        <w:t>Where rights secured by the Constitution are involved, there can be no rule making or legislation which would abrogate them</w:t>
      </w:r>
      <w:r w:rsidR="00364163">
        <w:rPr>
          <w:rFonts w:cs="Times New Roman"/>
        </w:rPr>
        <w:t>.</w:t>
      </w:r>
      <w:r>
        <w:rPr>
          <w:rFonts w:cs="Times New Roman"/>
        </w:rPr>
        <w:t>”</w:t>
      </w:r>
      <w:r w:rsidR="007D62D2" w:rsidRPr="004C2382">
        <w:rPr>
          <w:rStyle w:val="FootnoteReference"/>
          <w:rFonts w:cs="Times New Roman"/>
        </w:rPr>
        <w:footnoteReference w:id="23"/>
      </w:r>
      <w:r w:rsidR="008B33C3" w:rsidRPr="004C2382">
        <w:rPr>
          <w:rFonts w:cs="Times New Roman"/>
        </w:rPr>
        <w:t xml:space="preserve"> </w:t>
      </w:r>
      <w:r>
        <w:rPr>
          <w:rFonts w:cs="Times New Roman"/>
        </w:rPr>
        <w:t>“</w:t>
      </w:r>
      <w:r w:rsidR="008B33C3" w:rsidRPr="004C2382">
        <w:rPr>
          <w:rFonts w:cs="Times New Roman"/>
        </w:rPr>
        <w:t>No judicial process, whatever form it may assume, can have any lawful authority outside of the limits of the jurisdiction of the court or judge by whom it is issued; an</w:t>
      </w:r>
      <w:r w:rsidR="009271A9" w:rsidRPr="004C2382">
        <w:rPr>
          <w:rFonts w:cs="Times New Roman"/>
        </w:rPr>
        <w:t>y</w:t>
      </w:r>
      <w:r w:rsidR="008B33C3" w:rsidRPr="004C2382">
        <w:rPr>
          <w:rFonts w:cs="Times New Roman"/>
        </w:rPr>
        <w:t xml:space="preserve"> attempt to enforce it beyond these boundaries is nothing less than lawless violence.</w:t>
      </w:r>
      <w:r>
        <w:rPr>
          <w:rFonts w:cs="Times New Roman"/>
        </w:rPr>
        <w:t>”</w:t>
      </w:r>
      <w:r w:rsidR="009271A9" w:rsidRPr="004C2382">
        <w:rPr>
          <w:rStyle w:val="FootnoteReference"/>
          <w:rFonts w:cs="Times New Roman"/>
        </w:rPr>
        <w:footnoteReference w:id="24"/>
      </w:r>
      <w:r w:rsidR="008B33C3" w:rsidRPr="004C2382">
        <w:rPr>
          <w:rFonts w:cs="Times New Roman"/>
        </w:rPr>
        <w:t xml:space="preserve"> </w:t>
      </w:r>
      <w:r>
        <w:rPr>
          <w:rFonts w:cs="Times New Roman"/>
        </w:rPr>
        <w:t>“</w:t>
      </w:r>
      <w:r w:rsidR="009271A9" w:rsidRPr="004C2382">
        <w:rPr>
          <w:rFonts w:cs="Times New Roman"/>
        </w:rPr>
        <w:t>J</w:t>
      </w:r>
      <w:r w:rsidR="008B33C3" w:rsidRPr="004C2382">
        <w:rPr>
          <w:rFonts w:cs="Times New Roman"/>
        </w:rPr>
        <w:t>udges have no more right to decline the exercise of jurisdiction which is given, than to usurp that which is not given.</w:t>
      </w:r>
      <w:r>
        <w:rPr>
          <w:rFonts w:cs="Times New Roman"/>
        </w:rPr>
        <w:t xml:space="preserve"> </w:t>
      </w:r>
      <w:r w:rsidR="008B33C3" w:rsidRPr="004C2382">
        <w:rPr>
          <w:rFonts w:cs="Times New Roman"/>
        </w:rPr>
        <w:t>The one o</w:t>
      </w:r>
      <w:bookmarkStart w:id="0" w:name="_GoBack"/>
      <w:bookmarkEnd w:id="0"/>
      <w:r w:rsidR="008B33C3" w:rsidRPr="004C2382">
        <w:rPr>
          <w:rFonts w:cs="Times New Roman"/>
        </w:rPr>
        <w:t>r the other would be treason to the Constitution.</w:t>
      </w:r>
      <w:r>
        <w:rPr>
          <w:rFonts w:cs="Times New Roman"/>
        </w:rPr>
        <w:t>”</w:t>
      </w:r>
      <w:r w:rsidR="009271A9" w:rsidRPr="004C2382">
        <w:rPr>
          <w:rStyle w:val="FootnoteReference"/>
          <w:rFonts w:cs="Times New Roman"/>
        </w:rPr>
        <w:footnoteReference w:id="25"/>
      </w:r>
      <w:r w:rsidR="008B33C3" w:rsidRPr="004C2382">
        <w:rPr>
          <w:rFonts w:cs="Times New Roman"/>
        </w:rPr>
        <w:t xml:space="preserve"> </w:t>
      </w:r>
    </w:p>
    <w:p w:rsidR="00747E74" w:rsidRDefault="00A80AFF" w:rsidP="00747E74">
      <w:pPr>
        <w:jc w:val="both"/>
        <w:rPr>
          <w:rFonts w:cs="Times New Roman"/>
        </w:rPr>
      </w:pPr>
      <w:r>
        <w:rPr>
          <w:rFonts w:cs="Times New Roman"/>
        </w:rPr>
        <w:lastRenderedPageBreak/>
        <w:t>“</w:t>
      </w:r>
      <w:r w:rsidR="00747E74" w:rsidRPr="004C2382">
        <w:rPr>
          <w:rFonts w:cs="Times New Roman"/>
        </w:rPr>
        <w:t xml:space="preserve">It is in these words: </w:t>
      </w:r>
      <w:r w:rsidR="009271A9" w:rsidRPr="004C2382">
        <w:rPr>
          <w:rFonts w:cs="Times New Roman"/>
        </w:rPr>
        <w:t>‘</w:t>
      </w:r>
      <w:r w:rsidR="00747E74" w:rsidRPr="00FD6F4C">
        <w:rPr>
          <w:rFonts w:cs="Times New Roman"/>
          <w:i/>
        </w:rPr>
        <w:t>I do solemnly swear that I will administer justice without respect to persons, and do equal right to the poor and to the rich; and that I will faithfully and impartially discharge all the duties incumbent on me as according to the best of my abilities and understanding, agreeably to the constitution and laws of the United States</w:t>
      </w:r>
      <w:r w:rsidR="00747E74" w:rsidRPr="004C2382">
        <w:rPr>
          <w:rFonts w:cs="Times New Roman"/>
        </w:rPr>
        <w:t>.</w:t>
      </w:r>
      <w:r w:rsidR="009271A9" w:rsidRPr="004C2382">
        <w:rPr>
          <w:rFonts w:cs="Times New Roman"/>
        </w:rPr>
        <w:t>’</w:t>
      </w:r>
      <w:r w:rsidR="00747E74" w:rsidRPr="004C2382">
        <w:rPr>
          <w:rFonts w:cs="Times New Roman"/>
        </w:rPr>
        <w:t xml:space="preserve"> Why does a judge swear to discharge his duties agreeably to the constitution of the United States, if that constitution forms no rule for his government</w:t>
      </w:r>
      <w:r w:rsidR="00364163">
        <w:rPr>
          <w:rFonts w:cs="Times New Roman"/>
        </w:rPr>
        <w:t>,</w:t>
      </w:r>
      <w:r w:rsidR="00747E74" w:rsidRPr="004C2382">
        <w:rPr>
          <w:rFonts w:cs="Times New Roman"/>
        </w:rPr>
        <w:t xml:space="preserve"> if it is closed upon him and cannot be inspected by </w:t>
      </w:r>
      <w:r w:rsidR="00FD6F4C" w:rsidRPr="004C2382">
        <w:rPr>
          <w:rFonts w:cs="Times New Roman"/>
        </w:rPr>
        <w:t>him?</w:t>
      </w:r>
      <w:r w:rsidR="00747E74" w:rsidRPr="004C2382">
        <w:rPr>
          <w:rFonts w:cs="Times New Roman"/>
        </w:rPr>
        <w:t xml:space="preserve"> If such be the real state of things, this is worse than solemn mockery. To prescribe, or to take this oath, becomes equally a crime.</w:t>
      </w:r>
      <w:r>
        <w:rPr>
          <w:rFonts w:cs="Times New Roman"/>
        </w:rPr>
        <w:t>”</w:t>
      </w:r>
      <w:r w:rsidR="009271A9" w:rsidRPr="004C2382">
        <w:rPr>
          <w:rStyle w:val="FootnoteReference"/>
          <w:rFonts w:cs="Times New Roman"/>
        </w:rPr>
        <w:footnoteReference w:id="26"/>
      </w:r>
      <w:r w:rsidR="00747E74" w:rsidRPr="004C2382">
        <w:rPr>
          <w:rFonts w:cs="Times New Roman"/>
        </w:rPr>
        <w:t xml:space="preserve"> </w:t>
      </w:r>
    </w:p>
    <w:p w:rsidR="003A54E6" w:rsidRPr="004C2382" w:rsidRDefault="009271A9" w:rsidP="003A54E6">
      <w:pPr>
        <w:ind w:right="36"/>
        <w:jc w:val="both"/>
        <w:rPr>
          <w:rFonts w:asciiTheme="minorHAnsi" w:hAnsiTheme="minorHAnsi" w:cstheme="minorHAnsi"/>
          <w:szCs w:val="28"/>
        </w:rPr>
      </w:pPr>
      <w:r>
        <w:rPr>
          <w:szCs w:val="28"/>
          <w:lang w:bidi="he-IL"/>
        </w:rPr>
        <w:t xml:space="preserve">The People </w:t>
      </w:r>
      <w:r w:rsidRPr="00F92D2F">
        <w:rPr>
          <w:szCs w:val="28"/>
          <w:lang w:bidi="he-IL"/>
        </w:rPr>
        <w:t>are free</w:t>
      </w:r>
      <w:r>
        <w:rPr>
          <w:szCs w:val="28"/>
          <w:lang w:bidi="he-IL"/>
        </w:rPr>
        <w:t>,</w:t>
      </w:r>
      <w:r w:rsidRPr="00F92D2F">
        <w:rPr>
          <w:szCs w:val="28"/>
          <w:lang w:bidi="he-IL"/>
        </w:rPr>
        <w:t xml:space="preserve"> independent</w:t>
      </w:r>
      <w:r>
        <w:rPr>
          <w:szCs w:val="28"/>
          <w:lang w:bidi="he-IL"/>
        </w:rPr>
        <w:t>, and</w:t>
      </w:r>
      <w:r w:rsidRPr="00F92D2F">
        <w:rPr>
          <w:szCs w:val="28"/>
          <w:lang w:bidi="he-IL"/>
        </w:rPr>
        <w:t xml:space="preserve"> sovereign with the unalienable right of due process and with no contract with any administrative (foreign) court</w:t>
      </w:r>
      <w:r>
        <w:rPr>
          <w:szCs w:val="28"/>
          <w:lang w:bidi="he-IL"/>
        </w:rPr>
        <w:t>.</w:t>
      </w:r>
      <w:r w:rsidRPr="00F92D2F">
        <w:rPr>
          <w:szCs w:val="28"/>
          <w:lang w:bidi="he-IL"/>
        </w:rPr>
        <w:t xml:space="preserve"> </w:t>
      </w:r>
      <w:r>
        <w:rPr>
          <w:szCs w:val="28"/>
          <w:lang w:bidi="he-IL"/>
        </w:rPr>
        <w:t>T</w:t>
      </w:r>
      <w:r w:rsidRPr="00F92D2F">
        <w:rPr>
          <w:szCs w:val="28"/>
          <w:lang w:bidi="he-IL"/>
        </w:rPr>
        <w:t>hereby</w:t>
      </w:r>
      <w:r>
        <w:rPr>
          <w:szCs w:val="28"/>
          <w:lang w:bidi="he-IL"/>
        </w:rPr>
        <w:t>, the People</w:t>
      </w:r>
      <w:r w:rsidRPr="00F92D2F">
        <w:rPr>
          <w:szCs w:val="28"/>
          <w:lang w:bidi="he-IL"/>
        </w:rPr>
        <w:t xml:space="preserve"> ow</w:t>
      </w:r>
      <w:r>
        <w:rPr>
          <w:szCs w:val="28"/>
          <w:lang w:bidi="he-IL"/>
        </w:rPr>
        <w:t>e</w:t>
      </w:r>
      <w:r w:rsidRPr="00F92D2F">
        <w:rPr>
          <w:szCs w:val="28"/>
          <w:lang w:bidi="he-IL"/>
        </w:rPr>
        <w:t xml:space="preserve"> the State nothing and </w:t>
      </w:r>
      <w:r>
        <w:rPr>
          <w:szCs w:val="28"/>
          <w:lang w:bidi="he-IL"/>
        </w:rPr>
        <w:t xml:space="preserve">are </w:t>
      </w:r>
      <w:r w:rsidRPr="00F92D2F">
        <w:rPr>
          <w:szCs w:val="28"/>
          <w:lang w:bidi="he-IL"/>
        </w:rPr>
        <w:t xml:space="preserve">under no obligation that would require the </w:t>
      </w:r>
      <w:r>
        <w:rPr>
          <w:szCs w:val="28"/>
          <w:lang w:bidi="he-IL"/>
        </w:rPr>
        <w:t>People</w:t>
      </w:r>
      <w:r w:rsidRPr="00F92D2F">
        <w:rPr>
          <w:szCs w:val="28"/>
          <w:lang w:bidi="he-IL"/>
        </w:rPr>
        <w:t xml:space="preserve"> to seek leave from any servant who has no jurisdiction or authority over the </w:t>
      </w:r>
      <w:r>
        <w:rPr>
          <w:szCs w:val="28"/>
          <w:lang w:bidi="he-IL"/>
        </w:rPr>
        <w:t>People</w:t>
      </w:r>
      <w:r w:rsidRPr="00F92D2F">
        <w:rPr>
          <w:szCs w:val="28"/>
          <w:lang w:bidi="he-IL"/>
        </w:rPr>
        <w:t xml:space="preserve">. We are not </w:t>
      </w:r>
      <w:r w:rsidR="00A80AFF">
        <w:rPr>
          <w:szCs w:val="28"/>
          <w:lang w:bidi="he-IL"/>
        </w:rPr>
        <w:t>“</w:t>
      </w:r>
      <w:r w:rsidRPr="00F92D2F">
        <w:rPr>
          <w:szCs w:val="28"/>
          <w:lang w:bidi="he-IL"/>
        </w:rPr>
        <w:t>subjects of the state</w:t>
      </w:r>
      <w:r w:rsidR="00A80AFF">
        <w:rPr>
          <w:szCs w:val="28"/>
          <w:lang w:bidi="he-IL"/>
        </w:rPr>
        <w:t>”</w:t>
      </w:r>
      <w:r w:rsidRPr="00F92D2F">
        <w:rPr>
          <w:szCs w:val="28"/>
          <w:lang w:bidi="he-IL"/>
        </w:rPr>
        <w:t xml:space="preserve"> but the masters thereof</w:t>
      </w:r>
      <w:r w:rsidR="004C2382">
        <w:rPr>
          <w:szCs w:val="28"/>
          <w:lang w:bidi="he-IL"/>
        </w:rPr>
        <w:t>.</w:t>
      </w:r>
      <w:r w:rsidRPr="00445B2C">
        <w:rPr>
          <w:rFonts w:asciiTheme="minorHAnsi" w:hAnsiTheme="minorHAnsi" w:cstheme="minorHAnsi"/>
          <w:szCs w:val="28"/>
        </w:rPr>
        <w:t xml:space="preserve"> </w:t>
      </w:r>
      <w:r w:rsidR="00A80AFF">
        <w:rPr>
          <w:rFonts w:asciiTheme="minorHAnsi" w:hAnsiTheme="minorHAnsi" w:cstheme="minorHAnsi"/>
          <w:szCs w:val="28"/>
        </w:rPr>
        <w:t>“</w:t>
      </w:r>
      <w:r w:rsidR="005A7EA9" w:rsidRPr="004C2382">
        <w:rPr>
          <w:rFonts w:asciiTheme="minorHAnsi" w:hAnsiTheme="minorHAnsi" w:cstheme="minorHAnsi"/>
          <w:szCs w:val="28"/>
        </w:rPr>
        <w:t>Sovereignty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w:t>
      </w:r>
      <w:r w:rsidRPr="004C2382">
        <w:rPr>
          <w:rFonts w:asciiTheme="minorHAnsi" w:hAnsiTheme="minorHAnsi" w:cstheme="minorHAnsi"/>
          <w:szCs w:val="28"/>
        </w:rPr>
        <w:t>.</w:t>
      </w:r>
      <w:r w:rsidR="00A80AFF">
        <w:rPr>
          <w:rFonts w:asciiTheme="minorHAnsi" w:hAnsiTheme="minorHAnsi" w:cstheme="minorHAnsi"/>
          <w:szCs w:val="28"/>
        </w:rPr>
        <w:t>”</w:t>
      </w:r>
      <w:r w:rsidRPr="004C2382">
        <w:rPr>
          <w:rStyle w:val="FootnoteReference"/>
          <w:rFonts w:asciiTheme="minorHAnsi" w:hAnsiTheme="minorHAnsi" w:cstheme="minorHAnsi"/>
          <w:szCs w:val="28"/>
        </w:rPr>
        <w:footnoteReference w:id="27"/>
      </w:r>
      <w:r w:rsidR="005A7EA9" w:rsidRPr="004C2382">
        <w:rPr>
          <w:rFonts w:asciiTheme="minorHAnsi" w:hAnsiTheme="minorHAnsi" w:cstheme="minorHAnsi"/>
          <w:szCs w:val="28"/>
        </w:rPr>
        <w:t xml:space="preserve"> </w:t>
      </w:r>
    </w:p>
    <w:p w:rsidR="00FB2327" w:rsidRPr="004C2382" w:rsidRDefault="00A80AFF" w:rsidP="003A54E6">
      <w:pPr>
        <w:ind w:right="36"/>
        <w:jc w:val="both"/>
        <w:rPr>
          <w:szCs w:val="28"/>
          <w:lang w:bidi="he-IL"/>
        </w:rPr>
      </w:pPr>
      <w:r>
        <w:rPr>
          <w:szCs w:val="28"/>
          <w:lang w:bidi="he-IL"/>
        </w:rPr>
        <w:t>“</w:t>
      </w:r>
      <w:r w:rsidR="00FB2327" w:rsidRPr="004C2382">
        <w:rPr>
          <w:szCs w:val="28"/>
          <w:lang w:bidi="he-IL"/>
        </w:rPr>
        <w:t>It is the public policy of this state that public agencies exist to aid in the conduct of the people's business.... The people of this state do not yield their sovereignty to the agencies which serve them. ...at the Revolution, the sovereignty devolved on the people; and they are truly the sovereigns of the country, but they are sovereigns without subjects...with none to govern but themselves...</w:t>
      </w:r>
      <w:r>
        <w:rPr>
          <w:szCs w:val="28"/>
          <w:lang w:bidi="he-IL"/>
        </w:rPr>
        <w:t>”</w:t>
      </w:r>
      <w:r w:rsidR="009271A9" w:rsidRPr="004C2382">
        <w:rPr>
          <w:rStyle w:val="FootnoteReference"/>
          <w:szCs w:val="28"/>
          <w:lang w:bidi="he-IL"/>
        </w:rPr>
        <w:footnoteReference w:id="28"/>
      </w:r>
      <w:r w:rsidR="00FB2327" w:rsidRPr="004C2382">
        <w:rPr>
          <w:szCs w:val="28"/>
          <w:lang w:bidi="he-IL"/>
        </w:rPr>
        <w:t xml:space="preserve"> </w:t>
      </w:r>
      <w:r>
        <w:rPr>
          <w:szCs w:val="28"/>
          <w:lang w:bidi="he-IL"/>
        </w:rPr>
        <w:t>“</w:t>
      </w:r>
      <w:r w:rsidR="00FB2327" w:rsidRPr="004C2382">
        <w:rPr>
          <w:szCs w:val="28"/>
          <w:lang w:bidi="he-IL"/>
        </w:rPr>
        <w:t>The very meaning of 'sovereignty' is that the decree of the sovereign makes law.</w:t>
      </w:r>
      <w:r>
        <w:rPr>
          <w:szCs w:val="28"/>
          <w:lang w:bidi="he-IL"/>
        </w:rPr>
        <w:t>”</w:t>
      </w:r>
      <w:r w:rsidR="003A54E6" w:rsidRPr="004C2382">
        <w:rPr>
          <w:rStyle w:val="FootnoteReference"/>
          <w:szCs w:val="28"/>
          <w:lang w:bidi="he-IL"/>
        </w:rPr>
        <w:footnoteReference w:id="29"/>
      </w:r>
      <w:r w:rsidR="00FB2327" w:rsidRPr="004C2382">
        <w:rPr>
          <w:szCs w:val="28"/>
          <w:lang w:bidi="he-IL"/>
        </w:rPr>
        <w:t xml:space="preserve"> </w:t>
      </w:r>
    </w:p>
    <w:p w:rsidR="00B10684" w:rsidRPr="004C2382" w:rsidRDefault="00A80AFF" w:rsidP="003A54E6">
      <w:pPr>
        <w:ind w:right="36"/>
        <w:jc w:val="both"/>
      </w:pPr>
      <w:r>
        <w:t>“</w:t>
      </w:r>
      <w:r w:rsidR="00B10684" w:rsidRPr="004C2382">
        <w:t xml:space="preserve">Under federal Law, which is applicable to all states, the U.S. Supreme Court stated that </w:t>
      </w:r>
      <w:r>
        <w:t>“</w:t>
      </w:r>
      <w:r w:rsidR="00B10684" w:rsidRPr="004C2382">
        <w:t xml:space="preserve">if a court is without authority, its judgments and orders are regarded as nullities. They are not voidable, but simply void, and form no bar to a recovery sought, even prior to a reversal in opposition to them. They constitute no justification and all persons </w:t>
      </w:r>
      <w:r w:rsidR="00B10684" w:rsidRPr="004C2382">
        <w:lastRenderedPageBreak/>
        <w:t>concerned in executing such judgments or sentences are considered, in law, as trespassers.</w:t>
      </w:r>
      <w:r>
        <w:t>”</w:t>
      </w:r>
      <w:r w:rsidR="003A54E6" w:rsidRPr="004C2382">
        <w:rPr>
          <w:rStyle w:val="FootnoteReference"/>
        </w:rPr>
        <w:footnoteReference w:id="30"/>
      </w:r>
      <w:r w:rsidR="00B10684" w:rsidRPr="004C2382">
        <w:t xml:space="preserve"> </w:t>
      </w:r>
    </w:p>
    <w:p w:rsidR="006302BE" w:rsidRPr="004C2382" w:rsidRDefault="00A80AFF" w:rsidP="00576E4A">
      <w:pPr>
        <w:jc w:val="both"/>
        <w:rPr>
          <w:rFonts w:eastAsia="Times New Roman" w:cs="Times New Roman"/>
          <w:szCs w:val="28"/>
        </w:rPr>
      </w:pPr>
      <w:r>
        <w:rPr>
          <w:rFonts w:eastAsia="Times New Roman" w:cs="Times New Roman"/>
          <w:szCs w:val="28"/>
        </w:rPr>
        <w:t>“</w:t>
      </w:r>
      <w:r w:rsidR="006302BE" w:rsidRPr="004C2382">
        <w:rPr>
          <w:rFonts w:eastAsia="Times New Roman" w:cs="Times New Roman"/>
          <w:szCs w:val="28"/>
        </w:rPr>
        <w:t>Courts of Record and Courts not of Record the former being those whose acts and judicial proceedings are enrolled, or recorded, for a perpetual memory and testimony, and which have power to fine or imprison for contempt. Error lies to their judgments, and they generally possess a seal.</w:t>
      </w:r>
      <w:r>
        <w:rPr>
          <w:rFonts w:eastAsia="Times New Roman" w:cs="Times New Roman"/>
          <w:szCs w:val="28"/>
        </w:rPr>
        <w:t xml:space="preserve"> </w:t>
      </w:r>
      <w:r w:rsidR="006302BE" w:rsidRPr="004C2382">
        <w:rPr>
          <w:rFonts w:eastAsia="Times New Roman" w:cs="Times New Roman"/>
          <w:szCs w:val="28"/>
        </w:rPr>
        <w:t>Courts not of record are those of inferior dignity, which have no power to fine or imprison, and in which the proceedings are not enrolled or recorded</w:t>
      </w:r>
      <w:r w:rsidR="00DB5603" w:rsidRPr="004C2382">
        <w:rPr>
          <w:rFonts w:eastAsia="Times New Roman" w:cs="Times New Roman"/>
          <w:szCs w:val="28"/>
        </w:rPr>
        <w:t>.</w:t>
      </w:r>
      <w:r>
        <w:rPr>
          <w:rFonts w:eastAsia="Times New Roman" w:cs="Times New Roman"/>
          <w:szCs w:val="28"/>
        </w:rPr>
        <w:t>”</w:t>
      </w:r>
      <w:r w:rsidR="00F245EA" w:rsidRPr="004C2382">
        <w:rPr>
          <w:rStyle w:val="FootnoteReference"/>
          <w:rFonts w:eastAsia="Times New Roman" w:cs="Times New Roman"/>
          <w:szCs w:val="28"/>
        </w:rPr>
        <w:footnoteReference w:id="31"/>
      </w:r>
      <w:r w:rsidR="006302BE" w:rsidRPr="004C2382">
        <w:rPr>
          <w:rFonts w:eastAsia="Times New Roman" w:cs="Times New Roman"/>
          <w:szCs w:val="28"/>
        </w:rPr>
        <w:t xml:space="preserve"> </w:t>
      </w:r>
    </w:p>
    <w:p w:rsidR="006302BE" w:rsidRPr="004C2382" w:rsidRDefault="00A80AFF" w:rsidP="00576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8"/>
        </w:rPr>
      </w:pPr>
      <w:r>
        <w:rPr>
          <w:rFonts w:eastAsia="Times New Roman" w:cs="Times New Roman"/>
          <w:szCs w:val="28"/>
        </w:rPr>
        <w:t>“</w:t>
      </w:r>
      <w:r w:rsidR="006302BE" w:rsidRPr="004C2382">
        <w:rPr>
          <w:rFonts w:eastAsia="Times New Roman" w:cs="Times New Roman"/>
          <w:szCs w:val="28"/>
        </w:rPr>
        <w:t>A Court of Record is a judicial tribunal having attributes and exercising functions independently of the person of the magistrate designated generally to hold it, and proceeding according to the course of common law, its acts and proceedings being enrolled for a perpetual memorial</w:t>
      </w:r>
      <w:r w:rsidR="00DB5603" w:rsidRPr="004C2382">
        <w:rPr>
          <w:rFonts w:eastAsia="Times New Roman" w:cs="Times New Roman"/>
          <w:szCs w:val="28"/>
        </w:rPr>
        <w:t>.</w:t>
      </w:r>
      <w:r>
        <w:rPr>
          <w:rFonts w:eastAsia="Times New Roman" w:cs="Times New Roman"/>
          <w:szCs w:val="28"/>
        </w:rPr>
        <w:t>”</w:t>
      </w:r>
      <w:r w:rsidR="0099617F" w:rsidRPr="004C2382">
        <w:rPr>
          <w:rStyle w:val="FootnoteReference"/>
          <w:rFonts w:eastAsia="Times New Roman" w:cs="Times New Roman"/>
          <w:szCs w:val="28"/>
        </w:rPr>
        <w:footnoteReference w:id="32"/>
      </w:r>
      <w:r w:rsidR="003A54E6" w:rsidRPr="004C2382">
        <w:rPr>
          <w:rFonts w:eastAsia="Times New Roman" w:cs="Times New Roman"/>
          <w:szCs w:val="28"/>
        </w:rPr>
        <w:t xml:space="preserve"> </w:t>
      </w:r>
    </w:p>
    <w:p w:rsidR="006302BE" w:rsidRPr="006302BE" w:rsidRDefault="006302BE" w:rsidP="00576E4A">
      <w:pPr>
        <w:jc w:val="both"/>
        <w:rPr>
          <w:rFonts w:eastAsia="Times New Roman" w:cs="Times New Roman"/>
          <w:szCs w:val="28"/>
        </w:rPr>
      </w:pPr>
      <w:r w:rsidRPr="006302BE">
        <w:rPr>
          <w:rFonts w:eastAsia="Times New Roman" w:cs="Times New Roman"/>
          <w:szCs w:val="28"/>
        </w:rPr>
        <w:t>A court of record is a superior court. A court not of record is an inferior court. Inferior courts are those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w:t>
      </w:r>
      <w:r w:rsidR="00F245EA">
        <w:rPr>
          <w:rFonts w:eastAsia="Times New Roman" w:cs="Times New Roman"/>
          <w:szCs w:val="28"/>
        </w:rPr>
        <w:t>,</w:t>
      </w:r>
      <w:r w:rsidRPr="006302BE">
        <w:rPr>
          <w:rFonts w:eastAsia="Times New Roman" w:cs="Times New Roman"/>
          <w:szCs w:val="28"/>
        </w:rPr>
        <w:t xml:space="preserve"> which only proceeds according to common law; it is an inferior court.</w:t>
      </w:r>
    </w:p>
    <w:p w:rsidR="006302BE" w:rsidRDefault="006302BE" w:rsidP="00576E4A">
      <w:pPr>
        <w:jc w:val="both"/>
        <w:rPr>
          <w:rFonts w:eastAsia="Times New Roman" w:cs="Times New Roman"/>
          <w:szCs w:val="28"/>
        </w:rPr>
      </w:pPr>
      <w:r w:rsidRPr="006302BE">
        <w:rPr>
          <w:rFonts w:eastAsia="Times New Roman" w:cs="Times New Roman"/>
          <w:szCs w:val="28"/>
        </w:rPr>
        <w:t xml:space="preserve">The only inherent difference ordinarily recognized between superior and inferior courts is that there is a presumption in favor of the validity of the judgments of the former, none in favor of those of the latter, and that a superior court may be shown not to have had power to render a particular judgment by reference to its record. </w:t>
      </w:r>
      <w:r w:rsidRPr="006302BE">
        <w:rPr>
          <w:rFonts w:eastAsia="Times New Roman" w:cs="Times New Roman"/>
          <w:szCs w:val="28"/>
          <w:u w:val="single"/>
        </w:rPr>
        <w:t>Note</w:t>
      </w:r>
      <w:r w:rsidRPr="006302BE">
        <w:rPr>
          <w:rFonts w:eastAsia="Times New Roman" w:cs="Times New Roman"/>
          <w:szCs w:val="28"/>
        </w:rPr>
        <w:t xml:space="preserve">, however, that a </w:t>
      </w:r>
      <w:r w:rsidR="00A80AFF">
        <w:rPr>
          <w:rFonts w:eastAsia="Times New Roman" w:cs="Times New Roman"/>
          <w:szCs w:val="28"/>
        </w:rPr>
        <w:t>“</w:t>
      </w:r>
      <w:r w:rsidRPr="006302BE">
        <w:rPr>
          <w:rFonts w:eastAsia="Times New Roman" w:cs="Times New Roman"/>
          <w:szCs w:val="28"/>
        </w:rPr>
        <w:t>superior court</w:t>
      </w:r>
      <w:r w:rsidR="00A80AFF">
        <w:rPr>
          <w:rFonts w:eastAsia="Times New Roman" w:cs="Times New Roman"/>
          <w:szCs w:val="28"/>
        </w:rPr>
        <w:t>”</w:t>
      </w:r>
      <w:r w:rsidRPr="006302BE">
        <w:rPr>
          <w:rFonts w:eastAsia="Times New Roman" w:cs="Times New Roman"/>
          <w:szCs w:val="28"/>
        </w:rPr>
        <w:t xml:space="preserve"> is the name of a particular court. But when a court acts by virtue of a special statute conferring jurisdiction in a certain class of cases, it is a court of inferior or limited jurisdiction for the time being, no matter what its ordinary status may be. </w:t>
      </w:r>
    </w:p>
    <w:p w:rsidR="000D4FFF" w:rsidRDefault="005B4BCE" w:rsidP="00576E4A">
      <w:pPr>
        <w:jc w:val="both"/>
        <w:rPr>
          <w:rFonts w:cs="Times New Roman"/>
          <w:szCs w:val="28"/>
        </w:rPr>
      </w:pPr>
      <w:r>
        <w:rPr>
          <w:rFonts w:cs="Times New Roman"/>
          <w:szCs w:val="28"/>
        </w:rPr>
        <w:t xml:space="preserve">Unalienable Rights </w:t>
      </w:r>
      <w:r w:rsidR="000D4FFF">
        <w:rPr>
          <w:rFonts w:cs="Times New Roman"/>
          <w:szCs w:val="28"/>
        </w:rPr>
        <w:t>are</w:t>
      </w:r>
      <w:r>
        <w:rPr>
          <w:rFonts w:cs="Times New Roman"/>
          <w:szCs w:val="28"/>
        </w:rPr>
        <w:t xml:space="preserve"> the spirit of </w:t>
      </w:r>
      <w:r w:rsidR="00F245EA">
        <w:rPr>
          <w:rFonts w:cs="Times New Roman"/>
          <w:szCs w:val="28"/>
        </w:rPr>
        <w:t>Natural</w:t>
      </w:r>
      <w:r>
        <w:rPr>
          <w:rFonts w:cs="Times New Roman"/>
          <w:szCs w:val="28"/>
        </w:rPr>
        <w:t xml:space="preserve"> Law, the Law of our Creator and not </w:t>
      </w:r>
      <w:r w:rsidR="00137FC7">
        <w:rPr>
          <w:rFonts w:cs="Times New Roman"/>
          <w:szCs w:val="28"/>
        </w:rPr>
        <w:t xml:space="preserve">of </w:t>
      </w:r>
      <w:r>
        <w:rPr>
          <w:rFonts w:cs="Times New Roman"/>
          <w:szCs w:val="28"/>
        </w:rPr>
        <w:t>man</w:t>
      </w:r>
      <w:r w:rsidR="00FF4888">
        <w:rPr>
          <w:rFonts w:cs="Times New Roman"/>
          <w:szCs w:val="28"/>
        </w:rPr>
        <w:t>.</w:t>
      </w:r>
      <w:r>
        <w:rPr>
          <w:rFonts w:cs="Times New Roman"/>
          <w:szCs w:val="28"/>
        </w:rPr>
        <w:t xml:space="preserve"> </w:t>
      </w:r>
      <w:r w:rsidR="00FF4888">
        <w:rPr>
          <w:rFonts w:cs="Times New Roman"/>
          <w:szCs w:val="28"/>
        </w:rPr>
        <w:t>A</w:t>
      </w:r>
      <w:r>
        <w:rPr>
          <w:rFonts w:cs="Times New Roman"/>
          <w:szCs w:val="28"/>
        </w:rPr>
        <w:t xml:space="preserve">ll Law </w:t>
      </w:r>
      <w:r w:rsidR="00FF4888">
        <w:rPr>
          <w:rFonts w:cs="Times New Roman"/>
          <w:szCs w:val="28"/>
        </w:rPr>
        <w:t>is</w:t>
      </w:r>
      <w:r>
        <w:rPr>
          <w:rFonts w:cs="Times New Roman"/>
          <w:szCs w:val="28"/>
        </w:rPr>
        <w:t xml:space="preserve"> to be understood in light of</w:t>
      </w:r>
      <w:r w:rsidR="00B80C39">
        <w:rPr>
          <w:rFonts w:cs="Times New Roman"/>
          <w:szCs w:val="28"/>
        </w:rPr>
        <w:t xml:space="preserve"> our Unalienable Rights</w:t>
      </w:r>
      <w:r w:rsidR="008E4C6C">
        <w:rPr>
          <w:rFonts w:cs="Times New Roman"/>
          <w:szCs w:val="28"/>
        </w:rPr>
        <w:t>.</w:t>
      </w:r>
      <w:r w:rsidR="00B80C39">
        <w:rPr>
          <w:rFonts w:cs="Times New Roman"/>
          <w:szCs w:val="28"/>
        </w:rPr>
        <w:t xml:space="preserve"> </w:t>
      </w:r>
      <w:r w:rsidR="008E4C6C">
        <w:rPr>
          <w:rFonts w:cs="Times New Roman"/>
          <w:szCs w:val="28"/>
        </w:rPr>
        <w:t>A</w:t>
      </w:r>
      <w:r>
        <w:rPr>
          <w:rFonts w:cs="Times New Roman"/>
          <w:szCs w:val="28"/>
        </w:rPr>
        <w:t>ny law repugnant to that spirit is</w:t>
      </w:r>
      <w:r w:rsidR="00B80C39">
        <w:rPr>
          <w:rFonts w:cs="Times New Roman"/>
          <w:szCs w:val="28"/>
        </w:rPr>
        <w:t xml:space="preserve"> by</w:t>
      </w:r>
      <w:r>
        <w:rPr>
          <w:rFonts w:cs="Times New Roman"/>
          <w:szCs w:val="28"/>
        </w:rPr>
        <w:t xml:space="preserve"> </w:t>
      </w:r>
      <w:r w:rsidR="008E4C6C">
        <w:rPr>
          <w:rFonts w:cs="Times New Roman"/>
          <w:szCs w:val="28"/>
        </w:rPr>
        <w:t>nature</w:t>
      </w:r>
      <w:r w:rsidR="00B80C39">
        <w:rPr>
          <w:rFonts w:cs="Times New Roman"/>
          <w:szCs w:val="28"/>
        </w:rPr>
        <w:t>’s Creator</w:t>
      </w:r>
      <w:r w:rsidR="008E4C6C">
        <w:rPr>
          <w:rFonts w:cs="Times New Roman"/>
          <w:szCs w:val="28"/>
        </w:rPr>
        <w:t xml:space="preserve"> </w:t>
      </w:r>
      <w:r w:rsidR="00A80AFF">
        <w:rPr>
          <w:rFonts w:cs="Times New Roman"/>
          <w:szCs w:val="28"/>
        </w:rPr>
        <w:t>“</w:t>
      </w:r>
      <w:r>
        <w:rPr>
          <w:rFonts w:cs="Times New Roman"/>
          <w:szCs w:val="28"/>
        </w:rPr>
        <w:t>Null and Void</w:t>
      </w:r>
      <w:r w:rsidR="00A80AFF">
        <w:rPr>
          <w:rFonts w:cs="Times New Roman"/>
          <w:szCs w:val="28"/>
        </w:rPr>
        <w:t>.”</w:t>
      </w:r>
      <w:r w:rsidR="008F564A">
        <w:rPr>
          <w:rFonts w:cs="Times New Roman"/>
          <w:szCs w:val="28"/>
        </w:rPr>
        <w:t xml:space="preserve"> </w:t>
      </w:r>
      <w:r w:rsidR="000D4FFF" w:rsidRPr="000D4FFF">
        <w:rPr>
          <w:rFonts w:cs="Times New Roman"/>
          <w:szCs w:val="28"/>
        </w:rPr>
        <w:t xml:space="preserve">The Law of the Land a/k/a the </w:t>
      </w:r>
      <w:r w:rsidR="000D4FFF" w:rsidRPr="000D4FFF">
        <w:rPr>
          <w:rFonts w:cs="Times New Roman"/>
          <w:szCs w:val="28"/>
        </w:rPr>
        <w:lastRenderedPageBreak/>
        <w:t>Constitution for the United States of America [Article VI] and its Cap-Stone Bill of Rights, which is the Crown of our</w:t>
      </w:r>
      <w:r w:rsidR="00F245EA">
        <w:rPr>
          <w:rFonts w:cs="Times New Roman"/>
          <w:szCs w:val="28"/>
        </w:rPr>
        <w:t xml:space="preserve"> Natural</w:t>
      </w:r>
      <w:r w:rsidR="000D4FFF" w:rsidRPr="000D4FFF">
        <w:rPr>
          <w:rFonts w:cs="Times New Roman"/>
          <w:szCs w:val="28"/>
        </w:rPr>
        <w:t xml:space="preserve"> Law, were framed from the Declaration of Independence. These are all </w:t>
      </w:r>
      <w:r w:rsidR="00F245EA">
        <w:rPr>
          <w:rFonts w:cs="Times New Roman"/>
          <w:szCs w:val="28"/>
        </w:rPr>
        <w:t>Natural</w:t>
      </w:r>
      <w:r w:rsidR="000D4FFF" w:rsidRPr="000D4FFF">
        <w:rPr>
          <w:rFonts w:cs="Times New Roman"/>
          <w:szCs w:val="28"/>
        </w:rPr>
        <w:t xml:space="preserve"> Law documents that were constructed upon </w:t>
      </w:r>
      <w:r w:rsidR="00F245EA">
        <w:rPr>
          <w:rFonts w:cs="Times New Roman"/>
          <w:szCs w:val="28"/>
        </w:rPr>
        <w:t>Natural</w:t>
      </w:r>
      <w:r w:rsidR="000D4FFF" w:rsidRPr="000D4FFF">
        <w:rPr>
          <w:rFonts w:cs="Times New Roman"/>
          <w:szCs w:val="28"/>
        </w:rPr>
        <w:t xml:space="preserve"> Law Principles. To deny </w:t>
      </w:r>
      <w:r w:rsidR="00F245EA">
        <w:rPr>
          <w:rFonts w:cs="Times New Roman"/>
          <w:szCs w:val="28"/>
        </w:rPr>
        <w:t>Natural</w:t>
      </w:r>
      <w:r w:rsidR="000D4FFF" w:rsidRPr="000D4FFF">
        <w:rPr>
          <w:rFonts w:cs="Times New Roman"/>
          <w:szCs w:val="28"/>
        </w:rPr>
        <w:t xml:space="preserve"> Law is to deny these documents.</w:t>
      </w:r>
    </w:p>
    <w:p w:rsidR="000254A6" w:rsidRDefault="000E0275" w:rsidP="003B7CCB">
      <w:pPr>
        <w:pStyle w:val="ListParagraph"/>
        <w:numPr>
          <w:ilvl w:val="0"/>
          <w:numId w:val="1"/>
        </w:numPr>
        <w:spacing w:line="240" w:lineRule="auto"/>
        <w:ind w:left="360"/>
        <w:jc w:val="both"/>
        <w:rPr>
          <w:rFonts w:cs="Times New Roman"/>
          <w:szCs w:val="28"/>
        </w:rPr>
      </w:pPr>
      <w:r w:rsidRPr="000254A6">
        <w:rPr>
          <w:rFonts w:cs="Times New Roman"/>
          <w:szCs w:val="28"/>
          <w:u w:val="single"/>
        </w:rPr>
        <w:t>Declaration of Independence</w:t>
      </w:r>
      <w:r w:rsidRPr="000254A6">
        <w:rPr>
          <w:rFonts w:cs="Times New Roman"/>
          <w:szCs w:val="28"/>
        </w:rPr>
        <w:t xml:space="preserve">: </w:t>
      </w:r>
      <w:r w:rsidR="00A80AFF">
        <w:rPr>
          <w:rFonts w:cs="Times New Roman"/>
          <w:szCs w:val="28"/>
        </w:rPr>
        <w:t>“</w:t>
      </w:r>
      <w:r w:rsidR="005B4BCE" w:rsidRPr="007A1937">
        <w:rPr>
          <w:rFonts w:cs="Times New Roman"/>
          <w:i/>
          <w:szCs w:val="28"/>
        </w:rPr>
        <w:t xml:space="preserve">We hold these truths to be self-evident, that all men are created equal, that they are endowed by their Creator with certain unalienable </w:t>
      </w:r>
      <w:r w:rsidR="00137FC7" w:rsidRPr="007A1937">
        <w:rPr>
          <w:rFonts w:cs="Times New Roman"/>
          <w:i/>
          <w:szCs w:val="28"/>
        </w:rPr>
        <w:t>Rights that</w:t>
      </w:r>
      <w:r w:rsidR="005B4BCE" w:rsidRPr="007A1937">
        <w:rPr>
          <w:rFonts w:cs="Times New Roman"/>
          <w:i/>
          <w:szCs w:val="28"/>
        </w:rPr>
        <w:t xml:space="preserve"> among these are Life, Liberty and the pursuit of Happiness</w:t>
      </w:r>
      <w:r w:rsidR="005B4BCE" w:rsidRPr="000254A6">
        <w:rPr>
          <w:rFonts w:cs="Times New Roman"/>
          <w:szCs w:val="28"/>
        </w:rPr>
        <w:t>.</w:t>
      </w:r>
      <w:r w:rsidR="00A80AFF">
        <w:rPr>
          <w:rFonts w:cs="Times New Roman"/>
          <w:szCs w:val="28"/>
        </w:rPr>
        <w:t>”</w:t>
      </w:r>
      <w:r w:rsidR="005B4BCE" w:rsidRPr="000254A6">
        <w:rPr>
          <w:rFonts w:cs="Times New Roman"/>
          <w:szCs w:val="28"/>
        </w:rPr>
        <w:t xml:space="preserve"> </w:t>
      </w:r>
    </w:p>
    <w:p w:rsidR="005B4BCE" w:rsidRPr="000254A6" w:rsidRDefault="005B4BCE" w:rsidP="003B7CCB">
      <w:pPr>
        <w:pStyle w:val="ListParagraph"/>
        <w:numPr>
          <w:ilvl w:val="0"/>
          <w:numId w:val="1"/>
        </w:numPr>
        <w:spacing w:line="240" w:lineRule="auto"/>
        <w:ind w:left="360"/>
        <w:jc w:val="both"/>
        <w:rPr>
          <w:rFonts w:cs="Times New Roman"/>
          <w:szCs w:val="28"/>
        </w:rPr>
      </w:pPr>
      <w:r w:rsidRPr="000254A6">
        <w:rPr>
          <w:rFonts w:cs="Times New Roman"/>
          <w:szCs w:val="28"/>
          <w:u w:val="single"/>
        </w:rPr>
        <w:t>Amendment VII</w:t>
      </w:r>
      <w:r w:rsidR="000E0275" w:rsidRPr="000254A6">
        <w:rPr>
          <w:rFonts w:cs="Times New Roman"/>
          <w:szCs w:val="28"/>
        </w:rPr>
        <w:t>:</w:t>
      </w:r>
      <w:r w:rsidRPr="000254A6">
        <w:rPr>
          <w:rFonts w:cs="Times New Roman"/>
          <w:szCs w:val="28"/>
        </w:rPr>
        <w:t xml:space="preserve"> </w:t>
      </w:r>
      <w:r w:rsidR="00A80AFF">
        <w:rPr>
          <w:rFonts w:cs="Times New Roman"/>
          <w:szCs w:val="28"/>
        </w:rPr>
        <w:t>“</w:t>
      </w:r>
      <w:r w:rsidRPr="007A1937">
        <w:rPr>
          <w:rFonts w:cs="Times New Roman"/>
          <w:i/>
          <w:szCs w:val="28"/>
        </w:rPr>
        <w:t>In suits at common</w:t>
      </w:r>
      <w:r w:rsidR="00F245EA" w:rsidRPr="007A1937">
        <w:rPr>
          <w:rFonts w:cs="Times New Roman"/>
          <w:i/>
          <w:szCs w:val="28"/>
        </w:rPr>
        <w:t xml:space="preserve"> </w:t>
      </w:r>
      <w:r w:rsidR="00F245EA" w:rsidRPr="007A1937">
        <w:rPr>
          <w:rFonts w:cs="Times New Roman"/>
          <w:szCs w:val="28"/>
        </w:rPr>
        <w:t>(Natural)</w:t>
      </w:r>
      <w:r w:rsidRPr="007A1937">
        <w:rPr>
          <w:rFonts w:cs="Times New Roman"/>
          <w:i/>
          <w:szCs w:val="28"/>
        </w:rPr>
        <w:t xml:space="preserve"> law, where the value in controversy shall exceed twenty dollars, the right of trial by jury shall be preserved, and no fact tried by a jury, shall be otherwise reexamined in any Court of the United States, than according to the rules of the common </w:t>
      </w:r>
      <w:r w:rsidR="00F245EA" w:rsidRPr="007A1937">
        <w:rPr>
          <w:rFonts w:cs="Times New Roman"/>
          <w:szCs w:val="28"/>
        </w:rPr>
        <w:t>(Natural)</w:t>
      </w:r>
      <w:r w:rsidR="00F245EA" w:rsidRPr="007A1937">
        <w:rPr>
          <w:rFonts w:cs="Times New Roman"/>
          <w:i/>
          <w:szCs w:val="28"/>
        </w:rPr>
        <w:t xml:space="preserve"> </w:t>
      </w:r>
      <w:r w:rsidRPr="007A1937">
        <w:rPr>
          <w:rFonts w:cs="Times New Roman"/>
          <w:i/>
          <w:szCs w:val="28"/>
        </w:rPr>
        <w:t>law</w:t>
      </w:r>
      <w:r w:rsidRPr="000254A6">
        <w:rPr>
          <w:rFonts w:cs="Times New Roman"/>
          <w:szCs w:val="28"/>
        </w:rPr>
        <w:t>.</w:t>
      </w:r>
      <w:r w:rsidR="00A80AFF">
        <w:rPr>
          <w:rFonts w:cs="Times New Roman"/>
          <w:szCs w:val="28"/>
        </w:rPr>
        <w:t>”</w:t>
      </w:r>
    </w:p>
    <w:p w:rsidR="00B80C39" w:rsidRPr="004C2382" w:rsidRDefault="00A80AFF" w:rsidP="00576E4A">
      <w:pPr>
        <w:jc w:val="both"/>
        <w:rPr>
          <w:rFonts w:cs="Times New Roman"/>
          <w:szCs w:val="28"/>
        </w:rPr>
      </w:pPr>
      <w:r>
        <w:rPr>
          <w:rFonts w:cs="Times New Roman"/>
          <w:szCs w:val="28"/>
        </w:rPr>
        <w:t>“</w:t>
      </w:r>
      <w:r w:rsidR="00B80C39" w:rsidRPr="000254A6">
        <w:rPr>
          <w:rFonts w:cs="Times New Roman"/>
          <w:b/>
          <w:smallCaps/>
          <w:szCs w:val="28"/>
        </w:rPr>
        <w:t>Synopsis of Rule of Law</w:t>
      </w:r>
      <w:r w:rsidR="00B80C39" w:rsidRPr="004C2382">
        <w:rPr>
          <w:rFonts w:cs="Times New Roman"/>
          <w:szCs w:val="28"/>
        </w:rPr>
        <w:t>: The Supreme Court has the implied power from the United States Constitution to review acts of Congress and to declare them void if they are found to be repugnant to the Constitution.</w:t>
      </w:r>
      <w:r>
        <w:rPr>
          <w:rFonts w:cs="Times New Roman"/>
          <w:szCs w:val="28"/>
        </w:rPr>
        <w:t>”</w:t>
      </w:r>
      <w:r w:rsidR="000E0275" w:rsidRPr="004C2382">
        <w:rPr>
          <w:rStyle w:val="FootnoteReference"/>
          <w:rFonts w:cs="Times New Roman"/>
          <w:szCs w:val="28"/>
        </w:rPr>
        <w:footnoteReference w:id="33"/>
      </w:r>
      <w:r w:rsidR="005B3316" w:rsidRPr="004C2382">
        <w:rPr>
          <w:rFonts w:cs="Times New Roman"/>
          <w:szCs w:val="28"/>
        </w:rPr>
        <w:t xml:space="preserve"> </w:t>
      </w:r>
    </w:p>
    <w:p w:rsidR="00CA6249" w:rsidRPr="00F245EA" w:rsidRDefault="00A80AFF" w:rsidP="00576E4A">
      <w:pPr>
        <w:jc w:val="both"/>
        <w:rPr>
          <w:rFonts w:cs="Times New Roman"/>
          <w:szCs w:val="28"/>
        </w:rPr>
      </w:pPr>
      <w:r>
        <w:rPr>
          <w:rFonts w:cs="Times New Roman"/>
          <w:szCs w:val="28"/>
        </w:rPr>
        <w:t>“</w:t>
      </w:r>
      <w:r w:rsidR="00CA6249" w:rsidRPr="00F245EA">
        <w:rPr>
          <w:rFonts w:cs="Times New Roman"/>
          <w:szCs w:val="28"/>
        </w:rPr>
        <w:t xml:space="preserve">If </w:t>
      </w:r>
      <w:r w:rsidR="00626FF0">
        <w:rPr>
          <w:rFonts w:cs="Times New Roman"/>
          <w:szCs w:val="28"/>
        </w:rPr>
        <w:t>one</w:t>
      </w:r>
      <w:r w:rsidR="00CA6249" w:rsidRPr="00F245EA">
        <w:rPr>
          <w:rFonts w:cs="Times New Roman"/>
          <w:szCs w:val="28"/>
        </w:rPr>
        <w:t xml:space="preserve"> has a right, and that right has been violated, do the laws of his country afford him a remedy?</w:t>
      </w:r>
      <w:r w:rsidR="00F245EA" w:rsidRPr="00F245EA">
        <w:rPr>
          <w:rStyle w:val="FootnoteReference"/>
          <w:rFonts w:cs="Times New Roman"/>
          <w:szCs w:val="28"/>
        </w:rPr>
        <w:footnoteReference w:id="34"/>
      </w:r>
      <w:r w:rsidR="00CA6249" w:rsidRPr="00F245EA">
        <w:rPr>
          <w:rFonts w:cs="Times New Roman"/>
          <w:szCs w:val="28"/>
        </w:rPr>
        <w:t xml:space="preserve"> The very essence of liberty certainly consists in the right of every individual to claim the protection of the laws, whenever he receives an injury. One of the first duties of government is to afford that protection. In Great Britain</w:t>
      </w:r>
      <w:r w:rsidR="00364163">
        <w:rPr>
          <w:rFonts w:cs="Times New Roman"/>
          <w:szCs w:val="28"/>
        </w:rPr>
        <w:t>,</w:t>
      </w:r>
      <w:r w:rsidR="00CA6249" w:rsidRPr="00F245EA">
        <w:rPr>
          <w:rFonts w:cs="Times New Roman"/>
          <w:szCs w:val="28"/>
        </w:rPr>
        <w:t xml:space="preserve"> the king himself is sued in the respectful form of a petition, and he never fails to comply with the judgment of his court.</w:t>
      </w:r>
    </w:p>
    <w:p w:rsidR="00794D81" w:rsidRPr="00F245EA" w:rsidRDefault="00794D81" w:rsidP="00576E4A">
      <w:pPr>
        <w:jc w:val="both"/>
        <w:rPr>
          <w:rFonts w:cs="Times New Roman"/>
          <w:szCs w:val="28"/>
        </w:rPr>
      </w:pPr>
      <w:r w:rsidRPr="00F245EA">
        <w:rPr>
          <w:rFonts w:cs="Times New Roman"/>
          <w:szCs w:val="28"/>
        </w:rPr>
        <w:t xml:space="preserve">In the third volume of his Commentaries, page 23, Blackstone states two cases in which a remedy is afforded by mere operation of law. </w:t>
      </w:r>
      <w:r w:rsidR="00364163">
        <w:rPr>
          <w:rFonts w:cs="Times New Roman"/>
          <w:szCs w:val="28"/>
        </w:rPr>
        <w:t>‘</w:t>
      </w:r>
      <w:r w:rsidRPr="00F245EA">
        <w:rPr>
          <w:rFonts w:cs="Times New Roman"/>
          <w:szCs w:val="28"/>
        </w:rPr>
        <w:t>In all other cases,</w:t>
      </w:r>
      <w:r w:rsidR="00364163">
        <w:rPr>
          <w:rFonts w:cs="Times New Roman"/>
          <w:szCs w:val="28"/>
        </w:rPr>
        <w:t>’</w:t>
      </w:r>
      <w:r w:rsidRPr="00F245EA">
        <w:rPr>
          <w:rFonts w:cs="Times New Roman"/>
          <w:szCs w:val="28"/>
        </w:rPr>
        <w:t xml:space="preserve"> he says, </w:t>
      </w:r>
      <w:r w:rsidR="00364163">
        <w:rPr>
          <w:rFonts w:cs="Times New Roman"/>
          <w:szCs w:val="28"/>
        </w:rPr>
        <w:t>‘</w:t>
      </w:r>
      <w:r w:rsidRPr="00F245EA">
        <w:rPr>
          <w:rFonts w:cs="Times New Roman"/>
          <w:szCs w:val="28"/>
        </w:rPr>
        <w:t>it is a general and indisputable rule, that where there is a legal right, there is also a legal remedy by suit or action at law whenever that right is invaded.</w:t>
      </w:r>
      <w:r w:rsidR="00364163">
        <w:rPr>
          <w:rFonts w:cs="Times New Roman"/>
          <w:szCs w:val="28"/>
        </w:rPr>
        <w:t>’</w:t>
      </w:r>
      <w:r w:rsidRPr="00F245EA">
        <w:rPr>
          <w:rFonts w:cs="Times New Roman"/>
          <w:szCs w:val="28"/>
        </w:rPr>
        <w:t xml:space="preserve"> And afterwards, page 109 of the same volume, he says, </w:t>
      </w:r>
      <w:r w:rsidR="00364163">
        <w:rPr>
          <w:rFonts w:cs="Times New Roman"/>
          <w:szCs w:val="28"/>
        </w:rPr>
        <w:t>‘</w:t>
      </w:r>
      <w:r w:rsidRPr="00F245EA">
        <w:rPr>
          <w:rFonts w:cs="Times New Roman"/>
          <w:szCs w:val="28"/>
        </w:rPr>
        <w:t>I am next to consider such injuries as are cognizable by the courts of common law. And herein I shall for the present only remark, that all possible injuries whatsoever, that did not fall within the exclusive cognizance of either the ecclesiastical, military, or maritime tribunals, are, for that very reason, within the cognizance of the common law courts of justice; for it is a settled and invariable principle in the laws of England, that every right, when withheld, must have a remedy, and every injury its proper redress.</w:t>
      </w:r>
      <w:r w:rsidR="00364163">
        <w:rPr>
          <w:rFonts w:cs="Times New Roman"/>
          <w:szCs w:val="28"/>
        </w:rPr>
        <w:t>’</w:t>
      </w:r>
    </w:p>
    <w:p w:rsidR="00984468" w:rsidRPr="0078505C" w:rsidRDefault="00A80AFF" w:rsidP="00576E4A">
      <w:pPr>
        <w:jc w:val="both"/>
        <w:rPr>
          <w:rFonts w:cs="Times New Roman"/>
          <w:szCs w:val="28"/>
        </w:rPr>
      </w:pPr>
      <w:r>
        <w:rPr>
          <w:rFonts w:cs="Times New Roman"/>
          <w:szCs w:val="28"/>
        </w:rPr>
        <w:lastRenderedPageBreak/>
        <w:t>“</w:t>
      </w:r>
      <w:r w:rsidR="00794D81" w:rsidRPr="0078505C">
        <w:rPr>
          <w:rFonts w:cs="Times New Roman"/>
          <w:szCs w:val="28"/>
        </w:rPr>
        <w:t>The government of the United States has been emphatically termed a government of laws, and not of men. It will certainly cease to deserve this high appellation, if the laws furnish no remedy for the violation of a vested legal right. If this obloquy is to be cast on the jurisprudence of our country, it must arise from the peculiar character of the case. It beho</w:t>
      </w:r>
      <w:r w:rsidR="00364163">
        <w:rPr>
          <w:rFonts w:cs="Times New Roman"/>
          <w:szCs w:val="28"/>
        </w:rPr>
        <w:t>o</w:t>
      </w:r>
      <w:r w:rsidR="00794D81" w:rsidRPr="0078505C">
        <w:rPr>
          <w:rFonts w:cs="Times New Roman"/>
          <w:szCs w:val="28"/>
        </w:rPr>
        <w:t>ves us then to inquire whether there be in its composition any ingredient which shall exempt from legal investigation, or exclude the injured party from legal redress. In pursuing this inquiry</w:t>
      </w:r>
      <w:r w:rsidR="00364163">
        <w:rPr>
          <w:rFonts w:cs="Times New Roman"/>
          <w:szCs w:val="28"/>
        </w:rPr>
        <w:t>,</w:t>
      </w:r>
      <w:r w:rsidR="00794D81" w:rsidRPr="0078505C">
        <w:rPr>
          <w:rFonts w:cs="Times New Roman"/>
          <w:szCs w:val="28"/>
        </w:rPr>
        <w:t xml:space="preserve"> the first question which presents itself, is, whether this can be arranged</w:t>
      </w:r>
      <w:r w:rsidR="0078505C">
        <w:rPr>
          <w:rStyle w:val="FootnoteReference"/>
          <w:rFonts w:cs="Times New Roman"/>
          <w:szCs w:val="28"/>
        </w:rPr>
        <w:footnoteReference w:id="35"/>
      </w:r>
      <w:r w:rsidR="00794D81" w:rsidRPr="0078505C">
        <w:rPr>
          <w:rFonts w:cs="Times New Roman"/>
          <w:szCs w:val="28"/>
        </w:rPr>
        <w:t xml:space="preserve"> with that class of cases which come under the description of </w:t>
      </w:r>
      <w:r w:rsidR="007A1937">
        <w:rPr>
          <w:rFonts w:cs="Times New Roman"/>
          <w:szCs w:val="28"/>
        </w:rPr>
        <w:t>(</w:t>
      </w:r>
      <w:r w:rsidR="00794D81" w:rsidRPr="0078505C">
        <w:rPr>
          <w:rFonts w:cs="Times New Roman"/>
          <w:szCs w:val="28"/>
        </w:rPr>
        <w:t xml:space="preserve">damnum </w:t>
      </w:r>
      <w:proofErr w:type="spellStart"/>
      <w:r w:rsidR="00794D81" w:rsidRPr="0078505C">
        <w:rPr>
          <w:rFonts w:cs="Times New Roman"/>
          <w:szCs w:val="28"/>
        </w:rPr>
        <w:t>absque</w:t>
      </w:r>
      <w:proofErr w:type="spellEnd"/>
      <w:r w:rsidR="00794D81" w:rsidRPr="0078505C">
        <w:rPr>
          <w:rFonts w:cs="Times New Roman"/>
          <w:szCs w:val="28"/>
        </w:rPr>
        <w:t xml:space="preserve"> injuria-a</w:t>
      </w:r>
      <w:r w:rsidR="007A1937">
        <w:rPr>
          <w:rFonts w:cs="Times New Roman"/>
          <w:szCs w:val="28"/>
        </w:rPr>
        <w:t>)</w:t>
      </w:r>
      <w:r w:rsidR="00794D81" w:rsidRPr="0078505C">
        <w:rPr>
          <w:rFonts w:cs="Times New Roman"/>
          <w:szCs w:val="28"/>
        </w:rPr>
        <w:t xml:space="preserve"> loss without an injury</w:t>
      </w:r>
      <w:r w:rsidR="00577E7C" w:rsidRPr="0078505C">
        <w:rPr>
          <w:rFonts w:cs="Times New Roman"/>
          <w:szCs w:val="28"/>
        </w:rPr>
        <w:t xml:space="preserve">… </w:t>
      </w:r>
      <w:proofErr w:type="gramStart"/>
      <w:r w:rsidR="00984468" w:rsidRPr="0078505C">
        <w:rPr>
          <w:rFonts w:cs="Times New Roman"/>
          <w:szCs w:val="28"/>
        </w:rPr>
        <w:t>If any statement, within any law, which is passed, unconstitutional, the whole law is unconstitutional.</w:t>
      </w:r>
      <w:r>
        <w:rPr>
          <w:rFonts w:cs="Times New Roman"/>
          <w:szCs w:val="28"/>
        </w:rPr>
        <w:t>”</w:t>
      </w:r>
      <w:proofErr w:type="gramEnd"/>
      <w:r w:rsidR="000E0275" w:rsidRPr="0078505C">
        <w:rPr>
          <w:rStyle w:val="FootnoteReference"/>
          <w:rFonts w:cs="Times New Roman"/>
          <w:szCs w:val="28"/>
        </w:rPr>
        <w:footnoteReference w:id="36"/>
      </w:r>
      <w:r w:rsidR="000D4FFF" w:rsidRPr="0078505C">
        <w:rPr>
          <w:rFonts w:cs="Times New Roman"/>
          <w:szCs w:val="28"/>
        </w:rPr>
        <w:t xml:space="preserve"> </w:t>
      </w:r>
    </w:p>
    <w:p w:rsidR="00577E7C" w:rsidRDefault="00A80AFF" w:rsidP="00576E4A">
      <w:pPr>
        <w:jc w:val="both"/>
      </w:pPr>
      <w:r>
        <w:t>“</w:t>
      </w:r>
      <w:r w:rsidR="00445B2C" w:rsidRPr="0078505C">
        <w:t xml:space="preserve">If a federal town be necessary for the residence of congress and the public officers, it ought to be a small one, and the government of it fixed on republican and common </w:t>
      </w:r>
      <w:r w:rsidR="00626FF0" w:rsidRPr="0078505C">
        <w:t xml:space="preserve">[Natural] </w:t>
      </w:r>
      <w:r w:rsidR="00445B2C" w:rsidRPr="0078505C">
        <w:t xml:space="preserve">law principles, carefully enumerated and established by the constitution. </w:t>
      </w:r>
      <w:r w:rsidR="000E0275" w:rsidRPr="0078505C">
        <w:t>I</w:t>
      </w:r>
      <w:r w:rsidR="00445B2C" w:rsidRPr="0078505C">
        <w:t>t is true, the states, when they shall cede places, may stipulate that the laws and government of congress in them shall always be formed on such principles.</w:t>
      </w:r>
      <w:r>
        <w:t>”</w:t>
      </w:r>
      <w:r w:rsidR="000E0275" w:rsidRPr="0078505C">
        <w:rPr>
          <w:rStyle w:val="FootnoteReference"/>
        </w:rPr>
        <w:footnoteReference w:id="37"/>
      </w:r>
      <w:r w:rsidR="00445B2C" w:rsidRPr="0078505C">
        <w:t xml:space="preserve"> </w:t>
      </w:r>
      <w:r>
        <w:t>“</w:t>
      </w:r>
      <w:r w:rsidR="00626FF0" w:rsidRPr="0078505C">
        <w:t>T</w:t>
      </w:r>
      <w:r w:rsidR="00445B2C" w:rsidRPr="0078505C">
        <w:t xml:space="preserve">he legislature shall at no time hereafter institute any new courts but such as shall proceed according to the course of the common law, no legislation, in conflict with the Common </w:t>
      </w:r>
      <w:r w:rsidR="00626FF0" w:rsidRPr="0078505C">
        <w:t xml:space="preserve">[Natural] </w:t>
      </w:r>
      <w:r w:rsidR="00445B2C" w:rsidRPr="0078505C">
        <w:t>Law, is of any validity.</w:t>
      </w:r>
      <w:r>
        <w:t>”</w:t>
      </w:r>
      <w:r w:rsidR="000E0275" w:rsidRPr="0078505C">
        <w:rPr>
          <w:rStyle w:val="FootnoteReference"/>
        </w:rPr>
        <w:footnoteReference w:id="38"/>
      </w:r>
      <w:r w:rsidR="00445B2C" w:rsidRPr="0078505C">
        <w:t xml:space="preserve"> </w:t>
      </w:r>
      <w:r>
        <w:t>“</w:t>
      </w:r>
      <w:r w:rsidR="00445B2C" w:rsidRPr="0078505C">
        <w:t xml:space="preserve">The </w:t>
      </w:r>
      <w:r w:rsidR="00626FF0" w:rsidRPr="0078505C">
        <w:t xml:space="preserve">[Natural] </w:t>
      </w:r>
      <w:r w:rsidR="00445B2C" w:rsidRPr="0078505C">
        <w:t xml:space="preserve">common law is sometimes called, by way of eminence, </w:t>
      </w:r>
      <w:r w:rsidR="003B7CCB">
        <w:t>(</w:t>
      </w:r>
      <w:proofErr w:type="spellStart"/>
      <w:r w:rsidR="00445B2C" w:rsidRPr="0078505C">
        <w:t>lex</w:t>
      </w:r>
      <w:proofErr w:type="spellEnd"/>
      <w:r w:rsidR="00445B2C" w:rsidRPr="0078505C">
        <w:t xml:space="preserve"> terrae</w:t>
      </w:r>
      <w:r w:rsidR="003B7CCB">
        <w:t>)</w:t>
      </w:r>
      <w:r w:rsidR="00445B2C" w:rsidRPr="0078505C">
        <w:t>, as in the statute of Magna Carta, chap. 29, where certainly the common</w:t>
      </w:r>
      <w:r w:rsidR="00626FF0" w:rsidRPr="0078505C">
        <w:t xml:space="preserve"> [Natural]</w:t>
      </w:r>
      <w:r w:rsidR="00445B2C" w:rsidRPr="0078505C">
        <w:t xml:space="preserve"> law is principally intended by those words, </w:t>
      </w:r>
      <w:r w:rsidR="003B7CCB">
        <w:t>(</w:t>
      </w:r>
      <w:proofErr w:type="spellStart"/>
      <w:r w:rsidR="00445B2C" w:rsidRPr="0078505C">
        <w:t>aut</w:t>
      </w:r>
      <w:proofErr w:type="spellEnd"/>
      <w:r w:rsidR="00445B2C" w:rsidRPr="0078505C">
        <w:t xml:space="preserve"> per </w:t>
      </w:r>
      <w:proofErr w:type="spellStart"/>
      <w:r w:rsidR="00445B2C" w:rsidRPr="0078505C">
        <w:t>legem</w:t>
      </w:r>
      <w:proofErr w:type="spellEnd"/>
      <w:r w:rsidR="00445B2C" w:rsidRPr="0078505C">
        <w:t xml:space="preserve"> terrae</w:t>
      </w:r>
      <w:r w:rsidR="003B7CCB">
        <w:t>)</w:t>
      </w:r>
      <w:r w:rsidR="00445B2C" w:rsidRPr="0078505C">
        <w:t xml:space="preserve">; as appears by the exposition thereof in several subsequent statutes; ... This common </w:t>
      </w:r>
      <w:r w:rsidR="00626FF0" w:rsidRPr="0078505C">
        <w:t xml:space="preserve">[Natural] </w:t>
      </w:r>
      <w:r w:rsidR="00445B2C" w:rsidRPr="0078505C">
        <w:t xml:space="preserve">law, or </w:t>
      </w:r>
      <w:r>
        <w:t>“</w:t>
      </w:r>
      <w:r w:rsidR="00445B2C" w:rsidRPr="0078505C">
        <w:t>law of the land,</w:t>
      </w:r>
      <w:r>
        <w:t>”</w:t>
      </w:r>
      <w:r w:rsidR="00445B2C" w:rsidRPr="0078505C">
        <w:t xml:space="preserve"> the king was sworn to maintain.</w:t>
      </w:r>
      <w:r w:rsidR="00626FF0" w:rsidRPr="0078505C">
        <w:t xml:space="preserve"> </w:t>
      </w:r>
      <w:r w:rsidR="00445B2C" w:rsidRPr="0078505C">
        <w:t>This fact is recognized by a statute made at Westminster, in 1346, by Edward III., which commences in this manner</w:t>
      </w:r>
      <w:r w:rsidR="00364163">
        <w:t>.</w:t>
      </w:r>
      <w:r>
        <w:t>”</w:t>
      </w:r>
      <w:r w:rsidR="000E0275" w:rsidRPr="0078505C">
        <w:rPr>
          <w:rStyle w:val="FootnoteReference"/>
        </w:rPr>
        <w:footnoteReference w:id="39"/>
      </w:r>
      <w:r w:rsidR="00445B2C" w:rsidRPr="0078505C">
        <w:t xml:space="preserve"> </w:t>
      </w:r>
    </w:p>
    <w:p w:rsidR="00FD7681" w:rsidRDefault="00577E7C" w:rsidP="00576E4A">
      <w:pPr>
        <w:jc w:val="both"/>
        <w:rPr>
          <w:szCs w:val="28"/>
        </w:rPr>
      </w:pPr>
      <w:r w:rsidRPr="00445B2C">
        <w:rPr>
          <w:b/>
          <w:u w:val="single"/>
        </w:rPr>
        <w:t>CONCLUSION</w:t>
      </w:r>
      <w:r w:rsidRPr="00445B2C">
        <w:rPr>
          <w:b/>
        </w:rPr>
        <w:t>:</w:t>
      </w:r>
      <w:r>
        <w:t xml:space="preserve"> </w:t>
      </w:r>
      <w:r w:rsidR="00445B2C">
        <w:t>All Article III courts are</w:t>
      </w:r>
      <w:r w:rsidR="004272A8">
        <w:t xml:space="preserve"> </w:t>
      </w:r>
      <w:r w:rsidR="002333DE">
        <w:t xml:space="preserve">courts of equity or law. </w:t>
      </w:r>
      <w:r w:rsidR="002333DE" w:rsidRPr="002333DE">
        <w:rPr>
          <w:b/>
          <w:smallCaps/>
        </w:rPr>
        <w:t>C</w:t>
      </w:r>
      <w:r w:rsidR="004272A8" w:rsidRPr="002333DE">
        <w:rPr>
          <w:b/>
          <w:smallCaps/>
        </w:rPr>
        <w:t>ourts of equity</w:t>
      </w:r>
      <w:r w:rsidR="004272A8">
        <w:t xml:space="preserve"> </w:t>
      </w:r>
      <w:r w:rsidR="002333DE">
        <w:t>are</w:t>
      </w:r>
      <w:r w:rsidR="00FD7681">
        <w:t xml:space="preserve"> inferior courts</w:t>
      </w:r>
      <w:r w:rsidR="002333DE">
        <w:t xml:space="preserve"> </w:t>
      </w:r>
      <w:r w:rsidR="004272A8">
        <w:t xml:space="preserve">governed by USC Titles when proceeding </w:t>
      </w:r>
      <w:r w:rsidR="002333DE">
        <w:t>in cases involving</w:t>
      </w:r>
      <w:r w:rsidR="004272A8">
        <w:t xml:space="preserve"> bureaucrats, corporations, bankruptcies, piracies, </w:t>
      </w:r>
      <w:r w:rsidR="002333DE">
        <w:t>admiralty, maritime and other jurisdictions defined in Article I Section 8, all of which have NO AUTHORITY or JURISDICTION over the People, for the People being sovereign and above the government</w:t>
      </w:r>
      <w:r w:rsidR="00FD7681">
        <w:t xml:space="preserve"> </w:t>
      </w:r>
      <w:r w:rsidR="002333DE">
        <w:t>are not bound by positive law a/k/a human law</w:t>
      </w:r>
      <w:r w:rsidR="003B7CCB">
        <w:t>, regulations,</w:t>
      </w:r>
      <w:r w:rsidR="002333DE">
        <w:t xml:space="preserve"> statutes</w:t>
      </w:r>
      <w:r w:rsidR="003B7CCB">
        <w:t xml:space="preserve"> or </w:t>
      </w:r>
      <w:r w:rsidR="003B7CCB">
        <w:lastRenderedPageBreak/>
        <w:t>codes</w:t>
      </w:r>
      <w:r w:rsidR="00FD7681">
        <w:t>.</w:t>
      </w:r>
      <w:r w:rsidR="002333DE">
        <w:t xml:space="preserve"> </w:t>
      </w:r>
      <w:r w:rsidR="00FD7681" w:rsidRPr="000938A7">
        <w:rPr>
          <w:rFonts w:eastAsia="Times New Roman" w:cs="Times New Roman"/>
          <w:szCs w:val="28"/>
        </w:rPr>
        <w:t xml:space="preserve">Decisions of </w:t>
      </w:r>
      <w:r w:rsidR="00FD7681">
        <w:rPr>
          <w:rFonts w:eastAsia="Times New Roman" w:cs="Times New Roman"/>
          <w:szCs w:val="28"/>
        </w:rPr>
        <w:t xml:space="preserve">such an </w:t>
      </w:r>
      <w:r w:rsidR="00FD7681" w:rsidRPr="000938A7">
        <w:rPr>
          <w:rFonts w:eastAsia="Times New Roman" w:cs="Times New Roman"/>
          <w:szCs w:val="28"/>
        </w:rPr>
        <w:t>inferior court are subject to collateral attack. In other words, in a superior court</w:t>
      </w:r>
      <w:r w:rsidR="003B7CCB">
        <w:rPr>
          <w:rFonts w:eastAsia="Times New Roman" w:cs="Times New Roman"/>
          <w:szCs w:val="28"/>
        </w:rPr>
        <w:t>,</w:t>
      </w:r>
      <w:r w:rsidR="000D6899">
        <w:rPr>
          <w:rFonts w:eastAsia="Times New Roman" w:cs="Times New Roman"/>
          <w:szCs w:val="28"/>
        </w:rPr>
        <w:t xml:space="preserve"> </w:t>
      </w:r>
      <w:r w:rsidR="003B7CCB">
        <w:rPr>
          <w:rFonts w:eastAsia="Times New Roman" w:cs="Times New Roman"/>
          <w:szCs w:val="28"/>
        </w:rPr>
        <w:t>Natural Law Court,</w:t>
      </w:r>
      <w:r w:rsidR="00FD7681" w:rsidRPr="000938A7">
        <w:rPr>
          <w:rFonts w:eastAsia="Times New Roman" w:cs="Times New Roman"/>
          <w:szCs w:val="28"/>
        </w:rPr>
        <w:t xml:space="preserve"> one may sue an inferior court directly, rather than resort to appeal to an appellate court.</w:t>
      </w:r>
      <w:r w:rsidR="00E87F65">
        <w:rPr>
          <w:rFonts w:eastAsia="Times New Roman" w:cs="Times New Roman"/>
          <w:szCs w:val="28"/>
        </w:rPr>
        <w:t xml:space="preserve"> </w:t>
      </w:r>
      <w:r w:rsidR="00FD7681" w:rsidRPr="00E87F65">
        <w:rPr>
          <w:smallCaps/>
        </w:rPr>
        <w:t>Whereas</w:t>
      </w:r>
      <w:r w:rsidR="00FD7681">
        <w:t xml:space="preserve"> </w:t>
      </w:r>
      <w:r w:rsidR="002333DE" w:rsidRPr="00A60118">
        <w:rPr>
          <w:smallCaps/>
        </w:rPr>
        <w:t>C</w:t>
      </w:r>
      <w:r w:rsidR="00445B2C" w:rsidRPr="00A60118">
        <w:rPr>
          <w:smallCaps/>
        </w:rPr>
        <w:t>ourts of record</w:t>
      </w:r>
      <w:r w:rsidR="00445B2C">
        <w:t xml:space="preserve"> are to proceed under the rules of </w:t>
      </w:r>
      <w:r w:rsidR="00626FF0">
        <w:t>Natural</w:t>
      </w:r>
      <w:r w:rsidR="00445B2C">
        <w:t xml:space="preserve"> </w:t>
      </w:r>
      <w:r w:rsidR="00626FF0">
        <w:t>L</w:t>
      </w:r>
      <w:r w:rsidR="00445B2C">
        <w:t>aw.</w:t>
      </w:r>
      <w:r w:rsidR="00FE27CF">
        <w:t xml:space="preserve"> </w:t>
      </w:r>
      <w:r w:rsidR="00626FF0">
        <w:t>Natural</w:t>
      </w:r>
      <w:r w:rsidR="00FE27CF">
        <w:t xml:space="preserve"> law is nature’s law ordained by God. Constitutions are an unalienable right</w:t>
      </w:r>
      <w:r w:rsidR="003B7CCB">
        <w:t>, blessed by God and</w:t>
      </w:r>
      <w:r w:rsidR="00FE27CF">
        <w:t xml:space="preserve"> ordained by sovereign People. Legislators are bound by the chains of the Constitution and have no authority to create governments or write law</w:t>
      </w:r>
      <w:r w:rsidR="000938A7">
        <w:t>s</w:t>
      </w:r>
      <w:r w:rsidR="00FE27CF">
        <w:t xml:space="preserve"> </w:t>
      </w:r>
      <w:r w:rsidR="000938A7">
        <w:t xml:space="preserve">outside those </w:t>
      </w:r>
      <w:r w:rsidR="00F521BE">
        <w:t>bonds</w:t>
      </w:r>
      <w:r w:rsidR="000938A7">
        <w:t xml:space="preserve">. Any judge resting in fiction of law </w:t>
      </w:r>
      <w:r w:rsidR="005B3316">
        <w:t>proceeds</w:t>
      </w:r>
      <w:r w:rsidR="000254A6">
        <w:t>’</w:t>
      </w:r>
      <w:r w:rsidR="000938A7">
        <w:t xml:space="preserve"> under the color of law</w:t>
      </w:r>
      <w:r w:rsidR="00364163">
        <w:t>,</w:t>
      </w:r>
      <w:r w:rsidR="000254A6">
        <w:rPr>
          <w:rStyle w:val="FootnoteReference"/>
        </w:rPr>
        <w:footnoteReference w:id="40"/>
      </w:r>
      <w:r w:rsidR="000254A6">
        <w:t xml:space="preserve"> office</w:t>
      </w:r>
      <w:r w:rsidR="000254A6">
        <w:rPr>
          <w:rStyle w:val="FootnoteReference"/>
        </w:rPr>
        <w:footnoteReference w:id="41"/>
      </w:r>
      <w:r w:rsidR="000938A7">
        <w:t xml:space="preserve"> </w:t>
      </w:r>
      <w:r w:rsidR="006D68A6">
        <w:t>and authority</w:t>
      </w:r>
      <w:r w:rsidR="006D68A6">
        <w:rPr>
          <w:rStyle w:val="FootnoteReference"/>
        </w:rPr>
        <w:footnoteReference w:id="42"/>
      </w:r>
      <w:r w:rsidR="006D68A6">
        <w:t xml:space="preserve"> </w:t>
      </w:r>
      <w:r w:rsidR="000938A7">
        <w:t xml:space="preserve">losses all </w:t>
      </w:r>
      <w:r w:rsidR="000938A7" w:rsidRPr="0018262C">
        <w:rPr>
          <w:szCs w:val="28"/>
        </w:rPr>
        <w:t>immunity</w:t>
      </w:r>
      <w:r w:rsidR="000938A7">
        <w:rPr>
          <w:szCs w:val="28"/>
        </w:rPr>
        <w:t>.</w:t>
      </w:r>
      <w:r w:rsidR="000E3AFE">
        <w:rPr>
          <w:szCs w:val="28"/>
        </w:rPr>
        <w:t xml:space="preserve"> </w:t>
      </w:r>
      <w:r w:rsidR="00A60118">
        <w:rPr>
          <w:szCs w:val="28"/>
        </w:rPr>
        <w:t xml:space="preserve">Any judge that fraudulently carries the People away to jurisdictions unknown while ‘CONCEALING’ Natural Law courts </w:t>
      </w:r>
      <w:r w:rsidR="00364163">
        <w:rPr>
          <w:szCs w:val="28"/>
        </w:rPr>
        <w:t>is</w:t>
      </w:r>
      <w:r w:rsidR="00A60118">
        <w:rPr>
          <w:szCs w:val="28"/>
        </w:rPr>
        <w:t xml:space="preserve"> guilty of high treason</w:t>
      </w:r>
      <w:r w:rsidR="00364163">
        <w:rPr>
          <w:szCs w:val="28"/>
        </w:rPr>
        <w:t>.</w:t>
      </w:r>
      <w:r w:rsidR="00496D91">
        <w:rPr>
          <w:rStyle w:val="FootnoteReference"/>
          <w:szCs w:val="28"/>
        </w:rPr>
        <w:footnoteReference w:id="43"/>
      </w:r>
    </w:p>
    <w:p w:rsidR="003B7CCB" w:rsidRDefault="003B7CCB" w:rsidP="0063258E">
      <w:pPr>
        <w:ind w:firstLine="720"/>
        <w:jc w:val="both"/>
        <w:rPr>
          <w:szCs w:val="28"/>
        </w:rPr>
      </w:pPr>
      <w:r>
        <w:rPr>
          <w:noProof/>
        </w:rPr>
        <w:drawing>
          <wp:anchor distT="0" distB="0" distL="114300" distR="114300" simplePos="0" relativeHeight="251659776" behindDoc="1" locked="0" layoutInCell="1" allowOverlap="1" wp14:anchorId="28D8086A" wp14:editId="02C7966A">
            <wp:simplePos x="0" y="0"/>
            <wp:positionH relativeFrom="column">
              <wp:posOffset>27305</wp:posOffset>
            </wp:positionH>
            <wp:positionV relativeFrom="paragraph">
              <wp:posOffset>251732</wp:posOffset>
            </wp:positionV>
            <wp:extent cx="1377315" cy="1377315"/>
            <wp:effectExtent l="0" t="0" r="0" b="0"/>
            <wp:wrapNone/>
            <wp:docPr id="11" name="Picture 11" descr="United Stat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d States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sidR="00A80AFF">
        <w:rPr>
          <w:szCs w:val="28"/>
        </w:rPr>
        <w:t xml:space="preserve"> </w:t>
      </w:r>
      <w:r w:rsidR="0063258E">
        <w:rPr>
          <w:szCs w:val="28"/>
        </w:rPr>
        <w:t>SEAL</w:t>
      </w:r>
    </w:p>
    <w:p w:rsidR="0063258E" w:rsidRDefault="003B7CCB" w:rsidP="0063258E">
      <w:pPr>
        <w:ind w:firstLine="720"/>
        <w:jc w:val="both"/>
        <w:rPr>
          <w:szCs w:val="28"/>
        </w:rPr>
      </w:pPr>
      <w:r>
        <w:rPr>
          <w:noProof/>
        </w:rPr>
        <w:drawing>
          <wp:anchor distT="0" distB="0" distL="114300" distR="114300" simplePos="0" relativeHeight="251660800" behindDoc="1" locked="0" layoutInCell="1" allowOverlap="1" wp14:anchorId="3939DB42" wp14:editId="7B9D4E29">
            <wp:simplePos x="0" y="0"/>
            <wp:positionH relativeFrom="column">
              <wp:posOffset>3721100</wp:posOffset>
            </wp:positionH>
            <wp:positionV relativeFrom="paragraph">
              <wp:posOffset>206103</wp:posOffset>
            </wp:positionV>
            <wp:extent cx="1858010" cy="872490"/>
            <wp:effectExtent l="0" t="0" r="8890" b="3810"/>
            <wp:wrapNone/>
            <wp:docPr id="12" name="Picture 12" descr="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pic:spPr>
                </pic:pic>
              </a:graphicData>
            </a:graphic>
            <wp14:sizeRelH relativeFrom="page">
              <wp14:pctWidth>0</wp14:pctWidth>
            </wp14:sizeRelH>
            <wp14:sizeRelV relativeFrom="page">
              <wp14:pctHeight>0</wp14:pctHeight>
            </wp14:sizeRelV>
          </wp:anchor>
        </w:drawing>
      </w:r>
      <w:r w:rsidR="0063258E">
        <w:rPr>
          <w:szCs w:val="28"/>
        </w:rPr>
        <w:tab/>
      </w:r>
      <w:r w:rsidR="0063258E">
        <w:rPr>
          <w:szCs w:val="28"/>
        </w:rPr>
        <w:tab/>
      </w:r>
      <w:r w:rsidR="0063258E">
        <w:rPr>
          <w:szCs w:val="28"/>
        </w:rPr>
        <w:tab/>
        <w:t>Dated [</w:t>
      </w:r>
      <w:r w:rsidR="0063258E">
        <w:rPr>
          <w:i/>
          <w:szCs w:val="28"/>
        </w:rPr>
        <w:t>not filed yet</w:t>
      </w:r>
      <w:r w:rsidR="0063258E">
        <w:rPr>
          <w:szCs w:val="28"/>
        </w:rPr>
        <w:t>]</w:t>
      </w:r>
    </w:p>
    <w:p w:rsidR="0063258E" w:rsidRDefault="0063258E" w:rsidP="0063258E">
      <w:pPr>
        <w:jc w:val="both"/>
        <w:rPr>
          <w:szCs w:val="28"/>
        </w:rPr>
      </w:pPr>
    </w:p>
    <w:p w:rsidR="0063258E" w:rsidRDefault="0063258E" w:rsidP="0063258E">
      <w:pPr>
        <w:jc w:val="both"/>
        <w:rPr>
          <w:szCs w:val="28"/>
        </w:rPr>
      </w:pPr>
      <w:r>
        <w:rPr>
          <w:szCs w:val="28"/>
        </w:rPr>
        <w:tab/>
      </w:r>
      <w:r>
        <w:rPr>
          <w:szCs w:val="28"/>
        </w:rPr>
        <w:tab/>
      </w:r>
      <w:r>
        <w:rPr>
          <w:szCs w:val="28"/>
        </w:rPr>
        <w:tab/>
      </w:r>
      <w:r>
        <w:rPr>
          <w:szCs w:val="28"/>
        </w:rPr>
        <w:tab/>
      </w:r>
      <w:r>
        <w:rPr>
          <w:szCs w:val="28"/>
        </w:rPr>
        <w:tab/>
      </w:r>
      <w:r>
        <w:rPr>
          <w:szCs w:val="28"/>
        </w:rPr>
        <w:tab/>
        <w:t>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A80AFF">
        <w:rPr>
          <w:szCs w:val="28"/>
        </w:rPr>
        <w:t xml:space="preserve">  </w:t>
      </w:r>
      <w:r>
        <w:rPr>
          <w:szCs w:val="28"/>
        </w:rPr>
        <w:t>Grand Jury Foreman</w:t>
      </w:r>
    </w:p>
    <w:sectPr w:rsidR="0063258E" w:rsidSect="00EC23A9">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18" w:rsidRDefault="00944018" w:rsidP="00FB2327">
      <w:pPr>
        <w:spacing w:after="0" w:line="240" w:lineRule="auto"/>
      </w:pPr>
      <w:r>
        <w:separator/>
      </w:r>
    </w:p>
  </w:endnote>
  <w:endnote w:type="continuationSeparator" w:id="0">
    <w:p w:rsidR="00944018" w:rsidRDefault="00944018" w:rsidP="00FB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06941"/>
      <w:docPartObj>
        <w:docPartGallery w:val="Page Numbers (Bottom of Page)"/>
        <w:docPartUnique/>
      </w:docPartObj>
    </w:sdtPr>
    <w:sdtEndPr>
      <w:rPr>
        <w:smallCaps/>
        <w:sz w:val="24"/>
        <w:szCs w:val="24"/>
      </w:rPr>
    </w:sdtEndPr>
    <w:sdtContent>
      <w:sdt>
        <w:sdtPr>
          <w:id w:val="-1669238322"/>
          <w:docPartObj>
            <w:docPartGallery w:val="Page Numbers (Top of Page)"/>
            <w:docPartUnique/>
          </w:docPartObj>
        </w:sdtPr>
        <w:sdtEndPr>
          <w:rPr>
            <w:smallCaps/>
            <w:sz w:val="24"/>
            <w:szCs w:val="24"/>
          </w:rPr>
        </w:sdtEndPr>
        <w:sdtContent>
          <w:p w:rsidR="0081026B" w:rsidRPr="00C8565A" w:rsidRDefault="00CE47A3" w:rsidP="00A81DD3">
            <w:pPr>
              <w:pStyle w:val="Footer"/>
              <w:tabs>
                <w:tab w:val="clear" w:pos="9360"/>
                <w:tab w:val="right" w:pos="9900"/>
              </w:tabs>
              <w:jc w:val="center"/>
              <w:rPr>
                <w:smallCaps/>
                <w:sz w:val="24"/>
                <w:szCs w:val="24"/>
              </w:rPr>
            </w:pPr>
            <w:r w:rsidRPr="00C8565A">
              <w:rPr>
                <w:b/>
                <w:bCs/>
                <w:smallCaps/>
                <w:sz w:val="24"/>
                <w:szCs w:val="24"/>
              </w:rPr>
              <w:t xml:space="preserve">Memorandum </w:t>
            </w:r>
            <w:r w:rsidR="00C8565A" w:rsidRPr="00C8565A">
              <w:rPr>
                <w:b/>
                <w:bCs/>
                <w:smallCaps/>
                <w:sz w:val="24"/>
                <w:szCs w:val="24"/>
              </w:rPr>
              <w:t xml:space="preserve">of Law </w:t>
            </w:r>
            <w:r w:rsidR="00A81DD3">
              <w:rPr>
                <w:b/>
                <w:bCs/>
                <w:smallCaps/>
                <w:sz w:val="24"/>
                <w:szCs w:val="24"/>
              </w:rPr>
              <w:t xml:space="preserve">Natural Law </w:t>
            </w:r>
            <w:r w:rsidRPr="00C8565A">
              <w:rPr>
                <w:b/>
                <w:bCs/>
                <w:smallCaps/>
                <w:sz w:val="24"/>
                <w:szCs w:val="24"/>
              </w:rPr>
              <w:t>Jurisdiction</w:t>
            </w:r>
            <w:r w:rsidR="00E27A02" w:rsidRPr="00C8565A">
              <w:rPr>
                <w:b/>
                <w:bCs/>
                <w:smallCaps/>
                <w:sz w:val="24"/>
                <w:szCs w:val="24"/>
              </w:rPr>
              <w:tab/>
            </w:r>
            <w:r w:rsidR="0081026B" w:rsidRPr="00C8565A">
              <w:rPr>
                <w:smallCaps/>
                <w:sz w:val="24"/>
                <w:szCs w:val="24"/>
              </w:rPr>
              <w:t xml:space="preserve">Page </w:t>
            </w:r>
            <w:r w:rsidR="0081026B" w:rsidRPr="00C8565A">
              <w:rPr>
                <w:b/>
                <w:bCs/>
                <w:smallCaps/>
                <w:sz w:val="24"/>
                <w:szCs w:val="24"/>
              </w:rPr>
              <w:fldChar w:fldCharType="begin"/>
            </w:r>
            <w:r w:rsidR="0081026B" w:rsidRPr="00C8565A">
              <w:rPr>
                <w:b/>
                <w:bCs/>
                <w:smallCaps/>
                <w:sz w:val="24"/>
                <w:szCs w:val="24"/>
              </w:rPr>
              <w:instrText xml:space="preserve"> PAGE </w:instrText>
            </w:r>
            <w:r w:rsidR="0081026B" w:rsidRPr="00C8565A">
              <w:rPr>
                <w:b/>
                <w:bCs/>
                <w:smallCaps/>
                <w:sz w:val="24"/>
                <w:szCs w:val="24"/>
              </w:rPr>
              <w:fldChar w:fldCharType="separate"/>
            </w:r>
            <w:r w:rsidR="009F738F">
              <w:rPr>
                <w:b/>
                <w:bCs/>
                <w:smallCaps/>
                <w:noProof/>
                <w:sz w:val="24"/>
                <w:szCs w:val="24"/>
              </w:rPr>
              <w:t>4</w:t>
            </w:r>
            <w:r w:rsidR="0081026B" w:rsidRPr="00C8565A">
              <w:rPr>
                <w:b/>
                <w:bCs/>
                <w:smallCaps/>
                <w:sz w:val="24"/>
                <w:szCs w:val="24"/>
              </w:rPr>
              <w:fldChar w:fldCharType="end"/>
            </w:r>
            <w:r w:rsidR="0081026B" w:rsidRPr="00C8565A">
              <w:rPr>
                <w:smallCaps/>
                <w:sz w:val="24"/>
                <w:szCs w:val="24"/>
              </w:rPr>
              <w:t xml:space="preserve"> of </w:t>
            </w:r>
            <w:r w:rsidR="0081026B" w:rsidRPr="00C8565A">
              <w:rPr>
                <w:b/>
                <w:bCs/>
                <w:smallCaps/>
                <w:sz w:val="24"/>
                <w:szCs w:val="24"/>
              </w:rPr>
              <w:fldChar w:fldCharType="begin"/>
            </w:r>
            <w:r w:rsidR="0081026B" w:rsidRPr="00C8565A">
              <w:rPr>
                <w:b/>
                <w:bCs/>
                <w:smallCaps/>
                <w:sz w:val="24"/>
                <w:szCs w:val="24"/>
              </w:rPr>
              <w:instrText xml:space="preserve"> NUMPAGES  </w:instrText>
            </w:r>
            <w:r w:rsidR="0081026B" w:rsidRPr="00C8565A">
              <w:rPr>
                <w:b/>
                <w:bCs/>
                <w:smallCaps/>
                <w:sz w:val="24"/>
                <w:szCs w:val="24"/>
              </w:rPr>
              <w:fldChar w:fldCharType="separate"/>
            </w:r>
            <w:r w:rsidR="009F738F">
              <w:rPr>
                <w:b/>
                <w:bCs/>
                <w:smallCaps/>
                <w:noProof/>
                <w:sz w:val="24"/>
                <w:szCs w:val="24"/>
              </w:rPr>
              <w:t>9</w:t>
            </w:r>
            <w:r w:rsidR="0081026B" w:rsidRPr="00C8565A">
              <w:rPr>
                <w:b/>
                <w:bCs/>
                <w:smallCaps/>
                <w:sz w:val="24"/>
                <w:szCs w:val="24"/>
              </w:rPr>
              <w:fldChar w:fldCharType="end"/>
            </w:r>
          </w:p>
        </w:sdtContent>
      </w:sdt>
    </w:sdtContent>
  </w:sdt>
  <w:p w:rsidR="0081026B" w:rsidRDefault="0081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18" w:rsidRDefault="00944018" w:rsidP="00FB2327">
      <w:pPr>
        <w:spacing w:after="0" w:line="240" w:lineRule="auto"/>
      </w:pPr>
      <w:r>
        <w:separator/>
      </w:r>
    </w:p>
  </w:footnote>
  <w:footnote w:type="continuationSeparator" w:id="0">
    <w:p w:rsidR="00944018" w:rsidRDefault="00944018" w:rsidP="00FB2327">
      <w:pPr>
        <w:spacing w:after="0" w:line="240" w:lineRule="auto"/>
      </w:pPr>
      <w:r>
        <w:continuationSeparator/>
      </w:r>
    </w:p>
  </w:footnote>
  <w:footnote w:id="1">
    <w:p w:rsidR="00014FD7" w:rsidRDefault="00014FD7" w:rsidP="00014FD7">
      <w:pPr>
        <w:pStyle w:val="FootnoteText"/>
        <w:jc w:val="both"/>
      </w:pPr>
      <w:r>
        <w:rPr>
          <w:rStyle w:val="FootnoteReference"/>
        </w:rPr>
        <w:footnoteRef/>
      </w:r>
      <w:r>
        <w:rPr>
          <w:b/>
        </w:rPr>
        <w:t>The UUSCLGJ</w:t>
      </w:r>
      <w: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014FD7" w:rsidRDefault="00014FD7" w:rsidP="00014FD7">
      <w:pPr>
        <w:pStyle w:val="FootnoteText"/>
        <w:jc w:val="both"/>
      </w:pPr>
      <w:r>
        <w:rPr>
          <w:rStyle w:val="FootnoteReference"/>
          <w:b/>
        </w:rPr>
        <w:footnoteRef/>
      </w:r>
      <w:r>
        <w:rPr>
          <w:b/>
        </w:rPr>
        <w:t xml:space="preserve"> </w:t>
      </w:r>
      <w:r w:rsidR="00A80AFF">
        <w:rPr>
          <w:b/>
        </w:rPr>
        <w:t>“</w:t>
      </w:r>
      <w:r w:rsidR="004A0A89">
        <w:rPr>
          <w:b/>
        </w:rPr>
        <w:t>‘</w:t>
      </w:r>
      <w:r>
        <w:rPr>
          <w:b/>
        </w:rPr>
        <w:t>Sovereignty</w:t>
      </w:r>
      <w:r w:rsidR="004A0A89">
        <w:rPr>
          <w:b/>
        </w:rPr>
        <w:t>’</w:t>
      </w:r>
      <w:r>
        <w:t xml:space="preserve"> means that the decree of sovereign makes law, and foreign courts cannot condemn influences persuading sovereign to make the decree.</w:t>
      </w:r>
      <w:r w:rsidR="00A80AFF">
        <w:t>”</w:t>
      </w:r>
      <w:r>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t xml:space="preserve">9 (N.Y.) (1829), 21 Am. Dec. 89 10C Const. Law Sec. 298; 18 C </w:t>
      </w:r>
      <w:proofErr w:type="spellStart"/>
      <w:r>
        <w:t>Em.Dom</w:t>
      </w:r>
      <w:proofErr w:type="spellEnd"/>
      <w:r>
        <w:t>.</w:t>
      </w:r>
      <w:proofErr w:type="gramEnd"/>
      <w:r>
        <w:t xml:space="preserve"> Sec. 3, 228; </w:t>
      </w:r>
      <w:proofErr w:type="gramStart"/>
      <w:r>
        <w:t xml:space="preserve">37 C </w:t>
      </w:r>
      <w:proofErr w:type="spellStart"/>
      <w:r>
        <w:t>Nav.Wat</w:t>
      </w:r>
      <w:proofErr w:type="spellEnd"/>
      <w:proofErr w:type="gramEnd"/>
      <w:r>
        <w:t xml:space="preserve">. </w:t>
      </w:r>
      <w:proofErr w:type="gramStart"/>
      <w:r>
        <w:t xml:space="preserve">Sec. 219; </w:t>
      </w:r>
      <w:proofErr w:type="spellStart"/>
      <w:r>
        <w:t>Nuls</w:t>
      </w:r>
      <w:proofErr w:type="spellEnd"/>
      <w:r>
        <w:t xml:space="preserve"> Sec. 167; 48 C Wharves Sec. 3, 7.</w:t>
      </w:r>
      <w:proofErr w:type="gramEnd"/>
    </w:p>
  </w:footnote>
  <w:footnote w:id="3">
    <w:p w:rsidR="00014FD7" w:rsidRDefault="00014FD7" w:rsidP="00014FD7">
      <w:pPr>
        <w:pStyle w:val="FootnoteText"/>
        <w:jc w:val="both"/>
        <w:rPr>
          <w:rFonts w:cs="Times New Roman"/>
        </w:rPr>
      </w:pPr>
      <w:r>
        <w:rPr>
          <w:rStyle w:val="FootnoteReference"/>
          <w:rFonts w:cs="Times New Roman"/>
          <w:b/>
        </w:rPr>
        <w:footnoteRef/>
      </w:r>
      <w:r>
        <w:rPr>
          <w:rFonts w:cs="Times New Roman"/>
          <w:b/>
        </w:rPr>
        <w:t xml:space="preserve"> </w:t>
      </w:r>
      <w:r w:rsidR="00A80AFF">
        <w:rPr>
          <w:rFonts w:cs="Times New Roman"/>
          <w:b/>
        </w:rPr>
        <w:t>“</w:t>
      </w:r>
      <w:r>
        <w:rPr>
          <w:rFonts w:cs="Times New Roman"/>
          <w:b/>
        </w:rPr>
        <w:t>A Court of Record</w:t>
      </w:r>
      <w:r>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A80AFF">
        <w:rPr>
          <w:rFonts w:cs="Times New Roman"/>
        </w:rPr>
        <w:t>”</w:t>
      </w:r>
      <w:r>
        <w:rPr>
          <w:rFonts w:cs="Times New Roman"/>
        </w:rPr>
        <w:t xml:space="preserve"> Jones v. Jones, </w:t>
      </w:r>
      <w:proofErr w:type="gramStart"/>
      <w:r>
        <w:rPr>
          <w:rFonts w:cs="Times New Roman"/>
        </w:rPr>
        <w:t xml:space="preserve">188 </w:t>
      </w:r>
      <w:proofErr w:type="spellStart"/>
      <w:r>
        <w:rPr>
          <w:rFonts w:cs="Times New Roman"/>
        </w:rPr>
        <w:t>Mo.App</w:t>
      </w:r>
      <w:proofErr w:type="spellEnd"/>
      <w:proofErr w:type="gramEnd"/>
      <w:r>
        <w:rPr>
          <w:rFonts w:cs="Times New Roman"/>
        </w:rPr>
        <w:t xml:space="preserve">. </w:t>
      </w:r>
      <w:proofErr w:type="gramStart"/>
      <w:r>
        <w:rPr>
          <w:rFonts w:cs="Times New Roman"/>
        </w:rPr>
        <w:t xml:space="preserve">220, 175 S.W. 227, 229; Ex parte </w:t>
      </w:r>
      <w:proofErr w:type="spellStart"/>
      <w:r>
        <w:rPr>
          <w:rFonts w:cs="Times New Roman"/>
        </w:rPr>
        <w:t>Gladhill</w:t>
      </w:r>
      <w:proofErr w:type="spellEnd"/>
      <w:r>
        <w:rPr>
          <w:rFonts w:cs="Times New Roman"/>
        </w:rPr>
        <w:t xml:space="preserve">, 8 </w:t>
      </w:r>
      <w:proofErr w:type="spellStart"/>
      <w:r>
        <w:rPr>
          <w:rFonts w:cs="Times New Roman"/>
        </w:rPr>
        <w:t>Metc</w:t>
      </w:r>
      <w:proofErr w:type="spellEnd"/>
      <w:r>
        <w:rPr>
          <w:rFonts w:cs="Times New Roman"/>
        </w:rPr>
        <w:t>.</w:t>
      </w:r>
      <w:proofErr w:type="gramEnd"/>
      <w:r>
        <w:rPr>
          <w:rFonts w:cs="Times New Roman"/>
        </w:rPr>
        <w:t xml:space="preserve"> </w:t>
      </w:r>
      <w:proofErr w:type="gramStart"/>
      <w:r>
        <w:rPr>
          <w:rFonts w:cs="Times New Roman"/>
        </w:rPr>
        <w:t xml:space="preserve">Mass., 171, per Shaw, </w:t>
      </w:r>
      <w:proofErr w:type="spellStart"/>
      <w:r>
        <w:rPr>
          <w:rFonts w:cs="Times New Roman"/>
        </w:rPr>
        <w:t>C.J</w:t>
      </w:r>
      <w:proofErr w:type="spellEnd"/>
      <w:r>
        <w:rPr>
          <w:rFonts w:cs="Times New Roman"/>
        </w:rPr>
        <w:t>.</w:t>
      </w:r>
      <w:proofErr w:type="gramEnd"/>
      <w:r w:rsidR="00A80AFF">
        <w:rPr>
          <w:rFonts w:cs="Times New Roman"/>
        </w:rPr>
        <w:t xml:space="preserve"> </w:t>
      </w:r>
      <w:r>
        <w:rPr>
          <w:rFonts w:cs="Times New Roman"/>
        </w:rPr>
        <w:t xml:space="preserve">See, also, </w:t>
      </w:r>
      <w:proofErr w:type="spellStart"/>
      <w:r>
        <w:rPr>
          <w:rFonts w:cs="Times New Roman"/>
        </w:rPr>
        <w:t>Ledwith</w:t>
      </w:r>
      <w:proofErr w:type="spellEnd"/>
      <w:r>
        <w:rPr>
          <w:rFonts w:cs="Times New Roman"/>
        </w:rPr>
        <w:t xml:space="preserve"> v. </w:t>
      </w:r>
      <w:proofErr w:type="spellStart"/>
      <w:r>
        <w:rPr>
          <w:rFonts w:cs="Times New Roman"/>
        </w:rPr>
        <w:t>Rosalsky</w:t>
      </w:r>
      <w:proofErr w:type="spellEnd"/>
      <w:r>
        <w:rPr>
          <w:rFonts w:cs="Times New Roman"/>
        </w:rPr>
        <w:t>, 244 N.Y. 406, 155 N.E. 688, 689.</w:t>
      </w:r>
    </w:p>
  </w:footnote>
  <w:footnote w:id="4">
    <w:p w:rsidR="00014FD7" w:rsidRDefault="00014FD7" w:rsidP="00014FD7">
      <w:pPr>
        <w:pStyle w:val="FootnoteText"/>
        <w:jc w:val="both"/>
      </w:pPr>
      <w:r>
        <w:rPr>
          <w:rStyle w:val="FootnoteReference"/>
          <w:b/>
        </w:rPr>
        <w:footnoteRef/>
      </w:r>
      <w:r>
        <w:rPr>
          <w:b/>
        </w:rPr>
        <w:t xml:space="preserve"> Federal Judiciary</w:t>
      </w:r>
      <w: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403E2C" w:rsidRPr="00403E2C" w:rsidRDefault="00403E2C" w:rsidP="00403E2C">
      <w:pPr>
        <w:pStyle w:val="FootnoteText"/>
        <w:jc w:val="both"/>
      </w:pPr>
      <w:r w:rsidRPr="00403E2C">
        <w:rPr>
          <w:rStyle w:val="FootnoteReference"/>
        </w:rPr>
        <w:footnoteRef/>
      </w:r>
      <w:r w:rsidRPr="00403E2C">
        <w:t xml:space="preserve"> </w:t>
      </w:r>
      <w:proofErr w:type="gramStart"/>
      <w:r w:rsidRPr="00403E2C">
        <w:rPr>
          <w:rFonts w:eastAsia="Times New Roman" w:cstheme="minorHAnsi"/>
        </w:rPr>
        <w:t>1 Bl. Comm. 125.</w:t>
      </w:r>
      <w:proofErr w:type="gramEnd"/>
    </w:p>
  </w:footnote>
  <w:footnote w:id="6">
    <w:p w:rsidR="00403E2C" w:rsidRPr="00403E2C" w:rsidRDefault="00403E2C" w:rsidP="00403E2C">
      <w:pPr>
        <w:pStyle w:val="FootnoteText"/>
        <w:jc w:val="both"/>
      </w:pPr>
      <w:r w:rsidRPr="00403E2C">
        <w:rPr>
          <w:rStyle w:val="FootnoteReference"/>
        </w:rPr>
        <w:footnoteRef/>
      </w:r>
      <w:r w:rsidRPr="00403E2C">
        <w:t xml:space="preserve"> </w:t>
      </w:r>
      <w:proofErr w:type="spellStart"/>
      <w:proofErr w:type="gramStart"/>
      <w:r w:rsidRPr="00403E2C">
        <w:rPr>
          <w:rFonts w:eastAsia="Times New Roman" w:cstheme="minorHAnsi"/>
        </w:rPr>
        <w:t>Burlamaqui</w:t>
      </w:r>
      <w:proofErr w:type="spellEnd"/>
      <w:r w:rsidRPr="00403E2C">
        <w:rPr>
          <w:rFonts w:eastAsia="Times New Roman" w:cstheme="minorHAnsi"/>
        </w:rPr>
        <w:t xml:space="preserve">, c. 3, § 15; 1 </w:t>
      </w:r>
      <w:proofErr w:type="spellStart"/>
      <w:r w:rsidRPr="00403E2C">
        <w:rPr>
          <w:rFonts w:eastAsia="Times New Roman" w:cstheme="minorHAnsi"/>
        </w:rPr>
        <w:t>Bl.Comm</w:t>
      </w:r>
      <w:proofErr w:type="spellEnd"/>
      <w:r w:rsidRPr="00403E2C">
        <w:rPr>
          <w:rFonts w:eastAsia="Times New Roman" w:cstheme="minorHAnsi"/>
        </w:rPr>
        <w:t>.</w:t>
      </w:r>
      <w:proofErr w:type="gramEnd"/>
      <w:r w:rsidRPr="00403E2C">
        <w:rPr>
          <w:rFonts w:eastAsia="Times New Roman" w:cstheme="minorHAnsi"/>
        </w:rPr>
        <w:t xml:space="preserve"> 125.</w:t>
      </w:r>
    </w:p>
  </w:footnote>
  <w:footnote w:id="7">
    <w:p w:rsidR="008C5F93" w:rsidRPr="008C5F93" w:rsidRDefault="008C5F93">
      <w:pPr>
        <w:pStyle w:val="FootnoteText"/>
      </w:pPr>
      <w:r w:rsidRPr="008C5F93">
        <w:rPr>
          <w:rStyle w:val="FootnoteReference"/>
        </w:rPr>
        <w:footnoteRef/>
      </w:r>
      <w:r w:rsidRPr="008C5F93">
        <w:t xml:space="preserve"> </w:t>
      </w:r>
      <w:proofErr w:type="gramStart"/>
      <w:r w:rsidRPr="008C5F93">
        <w:rPr>
          <w:rFonts w:eastAsia="Times New Roman" w:cstheme="minorHAnsi"/>
        </w:rPr>
        <w:t xml:space="preserve">1 </w:t>
      </w:r>
      <w:proofErr w:type="spellStart"/>
      <w:r w:rsidRPr="008C5F93">
        <w:rPr>
          <w:rFonts w:eastAsia="Times New Roman" w:cstheme="minorHAnsi"/>
        </w:rPr>
        <w:t>Bl.Comm</w:t>
      </w:r>
      <w:proofErr w:type="spellEnd"/>
      <w:r w:rsidRPr="008C5F93">
        <w:rPr>
          <w:rFonts w:eastAsia="Times New Roman" w:cstheme="minorHAnsi"/>
        </w:rPr>
        <w:t>.</w:t>
      </w:r>
      <w:proofErr w:type="gramEnd"/>
      <w:r w:rsidRPr="008C5F93">
        <w:rPr>
          <w:rFonts w:eastAsia="Times New Roman" w:cstheme="minorHAnsi"/>
        </w:rPr>
        <w:t xml:space="preserve"> </w:t>
      </w:r>
      <w:proofErr w:type="gramStart"/>
      <w:r w:rsidRPr="008C5F93">
        <w:rPr>
          <w:rFonts w:eastAsia="Times New Roman" w:cstheme="minorHAnsi"/>
        </w:rPr>
        <w:t>6; Inst. 1, 3, 1.</w:t>
      </w:r>
      <w:proofErr w:type="gramEnd"/>
      <w:r w:rsidRPr="008C5F93">
        <w:rPr>
          <w:rFonts w:eastAsia="Times New Roman" w:cstheme="minorHAnsi"/>
        </w:rPr>
        <w:t xml:space="preserve"> See Dennis v. Moses, 18 Wash. 537, 52 P. 333, </w:t>
      </w:r>
      <w:proofErr w:type="gramStart"/>
      <w:r w:rsidRPr="008C5F93">
        <w:rPr>
          <w:rFonts w:eastAsia="Times New Roman" w:cstheme="minorHAnsi"/>
        </w:rPr>
        <w:t xml:space="preserve">40 </w:t>
      </w:r>
      <w:proofErr w:type="spellStart"/>
      <w:r w:rsidRPr="008C5F93">
        <w:rPr>
          <w:rFonts w:eastAsia="Times New Roman" w:cstheme="minorHAnsi"/>
        </w:rPr>
        <w:t>L.R.A</w:t>
      </w:r>
      <w:proofErr w:type="spellEnd"/>
      <w:r w:rsidRPr="008C5F93">
        <w:rPr>
          <w:rFonts w:eastAsia="Times New Roman" w:cstheme="minorHAnsi"/>
        </w:rPr>
        <w:t>. 302</w:t>
      </w:r>
      <w:proofErr w:type="gramEnd"/>
      <w:r w:rsidRPr="008C5F93">
        <w:rPr>
          <w:rFonts w:eastAsia="Times New Roman" w:cstheme="minorHAnsi"/>
        </w:rPr>
        <w:t>.</w:t>
      </w:r>
    </w:p>
  </w:footnote>
  <w:footnote w:id="8">
    <w:p w:rsidR="004014B5" w:rsidRDefault="004014B5" w:rsidP="004014B5">
      <w:pPr>
        <w:pStyle w:val="FootnoteText"/>
        <w:jc w:val="both"/>
      </w:pPr>
      <w:r w:rsidRPr="004014B5">
        <w:rPr>
          <w:rStyle w:val="FootnoteReference"/>
          <w:b/>
        </w:rPr>
        <w:footnoteRef/>
      </w:r>
      <w:r w:rsidRPr="004014B5">
        <w:rPr>
          <w:b/>
        </w:rPr>
        <w:t xml:space="preserve"> Article III Section 1:</w:t>
      </w:r>
      <w:r w:rsidRPr="004014B5">
        <w:t xml:space="preserve"> The judicial power of the </w:t>
      </w:r>
      <w:r>
        <w:t>U</w:t>
      </w:r>
      <w:r w:rsidRPr="004014B5">
        <w:t xml:space="preserve">nited </w:t>
      </w:r>
      <w:proofErr w:type="gramStart"/>
      <w:r>
        <w:t>S</w:t>
      </w:r>
      <w:r w:rsidRPr="004014B5">
        <w:t>tates,</w:t>
      </w:r>
      <w:proofErr w:type="gramEnd"/>
      <w:r w:rsidRPr="004014B5">
        <w:t xml:space="preserve"> shall be vested in one Supreme Court, and in such inferior courts as the Congress may from time to time ordain and establish. The judges, both of the supreme and inferior courts, shall hold their offices during good </w:t>
      </w:r>
      <w:proofErr w:type="spellStart"/>
      <w:r w:rsidRPr="004014B5">
        <w:t>behaviour</w:t>
      </w:r>
      <w:proofErr w:type="spellEnd"/>
      <w:r w:rsidRPr="004014B5">
        <w:t>, and shall, at stated times, receive for their services, a compensation, which shall not be diminished during their continuance in office.</w:t>
      </w:r>
    </w:p>
  </w:footnote>
  <w:footnote w:id="9">
    <w:p w:rsidR="004A0A89" w:rsidRPr="00766F72" w:rsidRDefault="004A0A89" w:rsidP="004A0A89">
      <w:pPr>
        <w:pStyle w:val="FootnoteText"/>
        <w:jc w:val="both"/>
        <w:rPr>
          <w:rFonts w:asciiTheme="minorHAnsi" w:hAnsiTheme="minorHAnsi" w:cstheme="minorHAnsi"/>
        </w:rPr>
      </w:pPr>
      <w:r w:rsidRPr="00766F72">
        <w:rPr>
          <w:rStyle w:val="FootnoteReference"/>
          <w:rFonts w:asciiTheme="minorHAnsi" w:hAnsiTheme="minorHAnsi" w:cstheme="minorHAnsi"/>
          <w:b/>
        </w:rPr>
        <w:footnoteRef/>
      </w:r>
      <w:r w:rsidRPr="00766F72">
        <w:rPr>
          <w:rFonts w:asciiTheme="minorHAnsi" w:hAnsiTheme="minorHAnsi" w:cstheme="minorHAnsi"/>
          <w:b/>
        </w:rPr>
        <w:t xml:space="preserve"> </w:t>
      </w:r>
      <w:r w:rsidRPr="00766F72">
        <w:rPr>
          <w:rFonts w:asciiTheme="minorHAnsi" w:eastAsia="Times New Roman" w:hAnsiTheme="minorHAnsi" w:cstheme="minorHAnsi"/>
          <w:b/>
        </w:rPr>
        <w:t>Article</w:t>
      </w:r>
      <w:r w:rsidR="0043010B">
        <w:rPr>
          <w:rFonts w:asciiTheme="minorHAnsi" w:eastAsia="Times New Roman" w:hAnsiTheme="minorHAnsi" w:cstheme="minorHAnsi"/>
          <w:b/>
        </w:rPr>
        <w:t xml:space="preserve"> I</w:t>
      </w:r>
      <w:r w:rsidRPr="00766F72">
        <w:rPr>
          <w:rFonts w:asciiTheme="minorHAnsi" w:eastAsia="Times New Roman" w:hAnsiTheme="minorHAnsi" w:cstheme="minorHAnsi"/>
          <w:b/>
        </w:rPr>
        <w:t xml:space="preserve"> Section 8 </w:t>
      </w:r>
      <w:r w:rsidR="004014B5">
        <w:rPr>
          <w:rFonts w:asciiTheme="minorHAnsi" w:eastAsia="Times New Roman" w:hAnsiTheme="minorHAnsi" w:cstheme="minorHAnsi"/>
          <w:b/>
        </w:rPr>
        <w:t xml:space="preserve">Clause </w:t>
      </w:r>
      <w:r w:rsidRPr="00766F72">
        <w:rPr>
          <w:rFonts w:asciiTheme="minorHAnsi" w:eastAsia="Times New Roman" w:hAnsiTheme="minorHAnsi" w:cstheme="minorHAnsi"/>
          <w:b/>
        </w:rPr>
        <w:t>9</w:t>
      </w:r>
      <w:r w:rsidR="004014B5">
        <w:rPr>
          <w:rFonts w:asciiTheme="minorHAnsi" w:eastAsia="Times New Roman" w:hAnsiTheme="minorHAnsi" w:cstheme="minorHAnsi"/>
          <w:b/>
        </w:rPr>
        <w:t>:</w:t>
      </w:r>
      <w:r w:rsidRPr="00766F72">
        <w:rPr>
          <w:rFonts w:asciiTheme="minorHAnsi" w:eastAsia="Times New Roman" w:hAnsiTheme="minorHAnsi" w:cstheme="minorHAnsi"/>
        </w:rPr>
        <w:t xml:space="preserve"> The Congress shall have power to constitute tribunals inferior to the Supreme Court;</w:t>
      </w:r>
    </w:p>
  </w:footnote>
  <w:footnote w:id="10">
    <w:p w:rsidR="004A0A89" w:rsidRPr="00766F72" w:rsidRDefault="004A0A89" w:rsidP="009D6045">
      <w:pPr>
        <w:spacing w:after="0" w:line="240" w:lineRule="auto"/>
        <w:jc w:val="both"/>
        <w:rPr>
          <w:rFonts w:asciiTheme="minorHAnsi" w:hAnsiTheme="minorHAnsi" w:cstheme="minorHAnsi"/>
          <w:sz w:val="20"/>
        </w:rPr>
      </w:pPr>
      <w:r w:rsidRPr="00766F72">
        <w:rPr>
          <w:rStyle w:val="FootnoteReference"/>
          <w:rFonts w:asciiTheme="minorHAnsi" w:hAnsiTheme="minorHAnsi" w:cstheme="minorHAnsi"/>
          <w:b/>
          <w:sz w:val="20"/>
        </w:rPr>
        <w:footnoteRef/>
      </w:r>
      <w:r w:rsidRPr="00766F72">
        <w:rPr>
          <w:rFonts w:asciiTheme="minorHAnsi" w:hAnsiTheme="minorHAnsi" w:cstheme="minorHAnsi"/>
          <w:b/>
          <w:sz w:val="20"/>
        </w:rPr>
        <w:t xml:space="preserve"> </w:t>
      </w:r>
      <w:r w:rsidRPr="00766F72">
        <w:rPr>
          <w:rFonts w:asciiTheme="minorHAnsi" w:eastAsia="Times New Roman" w:hAnsiTheme="minorHAnsi" w:cstheme="minorHAnsi"/>
          <w:b/>
          <w:sz w:val="20"/>
        </w:rPr>
        <w:t>SUPERVISORY CONTROL:</w:t>
      </w:r>
      <w:r w:rsidRPr="00766F72">
        <w:rPr>
          <w:rFonts w:asciiTheme="minorHAnsi" w:eastAsia="Times New Roman" w:hAnsiTheme="minorHAnsi" w:cstheme="minorHAnsi"/>
          <w:sz w:val="20"/>
        </w:rPr>
        <w:t xml:space="preserve"> Control exercised by courts to compel inferior tribunals to act within their jurisdiction, to prohibit them from acting outside their jurisdiction, and to reverse their extra-jurisdictional acts. - State v. Superior Court of Dane County, 170 Wis. 385, 175 N.W. 927, 928.</w:t>
      </w:r>
    </w:p>
  </w:footnote>
  <w:footnote w:id="11">
    <w:p w:rsidR="009D6045" w:rsidRDefault="009D6045" w:rsidP="009D6045">
      <w:pPr>
        <w:pStyle w:val="FootnoteText"/>
        <w:jc w:val="both"/>
      </w:pPr>
      <w:r w:rsidRPr="009D6045">
        <w:rPr>
          <w:rStyle w:val="FootnoteReference"/>
          <w:b/>
        </w:rPr>
        <w:footnoteRef/>
      </w:r>
      <w:r w:rsidRPr="009D6045">
        <w:rPr>
          <w:b/>
        </w:rPr>
        <w:t xml:space="preserve"> Article III Section 2:</w:t>
      </w:r>
      <w:r w:rsidRPr="009D6045">
        <w:t xml:space="preserve"> The judicial power shall extend to all cases, in law and equity, arising under this Constitution, the laws of the United States, and treaties made, or which shall</w:t>
      </w:r>
      <w:r w:rsidR="00CE0F1B">
        <w:t xml:space="preserve"> be made, under their authority.</w:t>
      </w:r>
    </w:p>
  </w:footnote>
  <w:footnote w:id="12">
    <w:p w:rsidR="004014B5" w:rsidRDefault="004014B5" w:rsidP="004014B5">
      <w:pPr>
        <w:pStyle w:val="FootnoteText"/>
        <w:jc w:val="both"/>
      </w:pPr>
      <w:r>
        <w:rPr>
          <w:rStyle w:val="FootnoteReference"/>
        </w:rPr>
        <w:footnoteRef/>
      </w:r>
      <w:r>
        <w:t xml:space="preserve"> </w:t>
      </w:r>
      <w:r w:rsidRPr="00CD3847">
        <w:t xml:space="preserve">NISI PRIUS: is a Latin term (Bouvier's Law) Where courts bearing this name exist in the United States, they are instituted by statutory </w:t>
      </w:r>
      <w:proofErr w:type="gramStart"/>
      <w:r w:rsidRPr="00CD3847">
        <w:t>provision.;</w:t>
      </w:r>
      <w:proofErr w:type="gramEnd"/>
      <w:r w:rsidRPr="00CD3847">
        <w:t xml:space="preserve"> Black's 5th </w:t>
      </w:r>
      <w:r>
        <w:t>‘</w:t>
      </w:r>
      <w:r w:rsidRPr="00CD3847">
        <w:t>Prius</w:t>
      </w:r>
      <w:r>
        <w:t>’</w:t>
      </w:r>
      <w:r w:rsidRPr="00CD3847">
        <w:t xml:space="preserve"> means </w:t>
      </w:r>
      <w:r>
        <w:t>‘</w:t>
      </w:r>
      <w:r w:rsidRPr="00CD3847">
        <w:t>first.</w:t>
      </w:r>
      <w:r>
        <w:t>’</w:t>
      </w:r>
      <w:r w:rsidRPr="00CD3847">
        <w:t xml:space="preserve"> </w:t>
      </w:r>
      <w:proofErr w:type="gramStart"/>
      <w:r>
        <w:t>‘</w:t>
      </w:r>
      <w:r w:rsidRPr="00CD3847">
        <w:t>Nisi</w:t>
      </w:r>
      <w:r>
        <w:t>’</w:t>
      </w:r>
      <w:r w:rsidRPr="00CD3847">
        <w:t xml:space="preserve"> means </w:t>
      </w:r>
      <w:r>
        <w:t>‘</w:t>
      </w:r>
      <w:r w:rsidRPr="00CD3847">
        <w:t>unless.</w:t>
      </w:r>
      <w:r>
        <w:t>’</w:t>
      </w:r>
      <w:proofErr w:type="gramEnd"/>
      <w:r w:rsidRPr="00CD3847">
        <w:t xml:space="preserve"> A nisi prius procedure is a procedure to which a party FIRST agrees UNLESS he </w:t>
      </w:r>
      <w:proofErr w:type="gramStart"/>
      <w:r w:rsidRPr="00CD3847">
        <w:t>objects.;</w:t>
      </w:r>
      <w:proofErr w:type="gramEnd"/>
      <w:r w:rsidRPr="00CD3847">
        <w:t xml:space="preserve"> Blacks 4th - A rule of procedure in courts is that if a party fails to object to something, then it means he agrees to it. A nisi procedure is a procedure to which a person has failed to object </w:t>
      </w:r>
      <w:proofErr w:type="gramStart"/>
      <w:r w:rsidRPr="00CD3847">
        <w:t>A</w:t>
      </w:r>
      <w:proofErr w:type="gramEnd"/>
      <w:r w:rsidRPr="00CD3847">
        <w:t xml:space="preserve"> </w:t>
      </w:r>
      <w:r w:rsidR="00A80AFF">
        <w:t>“</w:t>
      </w:r>
      <w:r w:rsidRPr="00CD3847">
        <w:t>nisi prius court</w:t>
      </w:r>
      <w:r w:rsidR="00A80AFF">
        <w:t>”</w:t>
      </w:r>
      <w:r w:rsidRPr="00CD3847">
        <w:t xml:space="preserve"> is a court which will proceed unless a party objects. The agreement to proceed is obtained from the parties first.</w:t>
      </w:r>
    </w:p>
  </w:footnote>
  <w:footnote w:id="13">
    <w:p w:rsidR="004014B5" w:rsidRDefault="004014B5" w:rsidP="004014B5">
      <w:pPr>
        <w:pStyle w:val="FootnoteText"/>
      </w:pPr>
      <w:r>
        <w:rPr>
          <w:rStyle w:val="FootnoteReference"/>
        </w:rPr>
        <w:footnoteRef/>
      </w:r>
      <w:r>
        <w:t xml:space="preserve"> </w:t>
      </w:r>
      <w:proofErr w:type="gramStart"/>
      <w:r w:rsidRPr="00631904">
        <w:rPr>
          <w:rFonts w:asciiTheme="majorHAnsi" w:hAnsiTheme="majorHAnsi" w:cstheme="majorHAnsi"/>
          <w:szCs w:val="28"/>
        </w:rPr>
        <w:t>Hurtado v.</w:t>
      </w:r>
      <w:proofErr w:type="gram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People of the State of California, 110 U.S. 516.</w:t>
      </w:r>
      <w:proofErr w:type="gramEnd"/>
    </w:p>
  </w:footnote>
  <w:footnote w:id="14">
    <w:p w:rsidR="004014B5" w:rsidRDefault="004014B5" w:rsidP="004014B5">
      <w:pPr>
        <w:pStyle w:val="FootnoteText"/>
      </w:pPr>
      <w:r>
        <w:rPr>
          <w:rStyle w:val="FootnoteReference"/>
        </w:rPr>
        <w:footnoteRef/>
      </w:r>
      <w:r>
        <w:t xml:space="preserve"> </w:t>
      </w:r>
      <w:proofErr w:type="gramStart"/>
      <w:r w:rsidRPr="00631904">
        <w:rPr>
          <w:rFonts w:asciiTheme="majorHAnsi" w:hAnsiTheme="majorHAnsi" w:cstheme="majorHAnsi"/>
          <w:szCs w:val="28"/>
        </w:rPr>
        <w:t xml:space="preserve">NEW YORK CODE - N.Y. </w:t>
      </w:r>
      <w:proofErr w:type="spellStart"/>
      <w:r w:rsidRPr="00631904">
        <w:rPr>
          <w:rFonts w:asciiTheme="majorHAnsi" w:hAnsiTheme="majorHAnsi" w:cstheme="majorHAnsi"/>
          <w:szCs w:val="28"/>
        </w:rPr>
        <w:t>CVR</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LAW § 2 : NY Code - Section 2: Supreme sovereignty in the people</w:t>
      </w:r>
    </w:p>
  </w:footnote>
  <w:footnote w:id="15">
    <w:p w:rsidR="004014B5" w:rsidRDefault="004014B5" w:rsidP="004014B5">
      <w:pPr>
        <w:pStyle w:val="FootnoteText"/>
      </w:pPr>
      <w:r>
        <w:rPr>
          <w:rStyle w:val="FootnoteReference"/>
        </w:rPr>
        <w:footnoteRef/>
      </w:r>
      <w:r>
        <w:t xml:space="preserve"> </w:t>
      </w:r>
      <w:r w:rsidRPr="00631904">
        <w:rPr>
          <w:rFonts w:asciiTheme="majorHAnsi" w:hAnsiTheme="majorHAnsi" w:cstheme="majorHAnsi"/>
          <w:szCs w:val="28"/>
        </w:rPr>
        <w:t xml:space="preserve">American Banana Co. v. United Fruit Co., 29 </w:t>
      </w:r>
      <w:proofErr w:type="spellStart"/>
      <w:r w:rsidRPr="00631904">
        <w:rPr>
          <w:rFonts w:asciiTheme="majorHAnsi" w:hAnsiTheme="majorHAnsi" w:cstheme="majorHAnsi"/>
          <w:szCs w:val="28"/>
        </w:rPr>
        <w:t>S.Ct</w:t>
      </w:r>
      <w:proofErr w:type="spellEnd"/>
      <w:r w:rsidRPr="00631904">
        <w:rPr>
          <w:rFonts w:asciiTheme="majorHAnsi" w:hAnsiTheme="majorHAnsi" w:cstheme="majorHAnsi"/>
          <w:szCs w:val="28"/>
        </w:rPr>
        <w:t xml:space="preserve">. 511, 513, 213 U.S. 347, </w:t>
      </w:r>
      <w:proofErr w:type="gramStart"/>
      <w:r w:rsidRPr="00631904">
        <w:rPr>
          <w:rFonts w:asciiTheme="majorHAnsi" w:hAnsiTheme="majorHAnsi" w:cstheme="majorHAnsi"/>
          <w:szCs w:val="28"/>
        </w:rPr>
        <w:t xml:space="preserve">53 </w:t>
      </w:r>
      <w:proofErr w:type="spellStart"/>
      <w:r w:rsidRPr="00631904">
        <w:rPr>
          <w:rFonts w:asciiTheme="majorHAnsi" w:hAnsiTheme="majorHAnsi" w:cstheme="majorHAnsi"/>
          <w:szCs w:val="28"/>
        </w:rPr>
        <w:t>L.Ed</w:t>
      </w:r>
      <w:proofErr w:type="spellEnd"/>
      <w:proofErr w:type="gram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 xml:space="preserve">826, 19 </w:t>
      </w:r>
      <w:proofErr w:type="spellStart"/>
      <w:r w:rsidRPr="00631904">
        <w:rPr>
          <w:rFonts w:asciiTheme="majorHAnsi" w:hAnsiTheme="majorHAnsi" w:cstheme="majorHAnsi"/>
          <w:szCs w:val="28"/>
        </w:rPr>
        <w:t>Ann.Cas</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1047</w:t>
      </w:r>
      <w:r>
        <w:rPr>
          <w:rFonts w:asciiTheme="majorHAnsi" w:hAnsiTheme="majorHAnsi" w:cstheme="majorHAnsi"/>
          <w:szCs w:val="28"/>
        </w:rPr>
        <w:t>.</w:t>
      </w:r>
    </w:p>
  </w:footnote>
  <w:footnote w:id="16">
    <w:p w:rsidR="004014B5" w:rsidRDefault="004014B5" w:rsidP="004014B5">
      <w:pPr>
        <w:pStyle w:val="FootnoteText"/>
      </w:pPr>
      <w:r>
        <w:rPr>
          <w:rStyle w:val="FootnoteReference"/>
        </w:rPr>
        <w:footnoteRef/>
      </w:r>
      <w:r>
        <w:t xml:space="preserve"> </w:t>
      </w:r>
      <w:r w:rsidRPr="00631904">
        <w:rPr>
          <w:rFonts w:asciiTheme="majorHAnsi" w:hAnsiTheme="majorHAnsi" w:cstheme="majorHAnsi"/>
          <w:szCs w:val="28"/>
        </w:rPr>
        <w:t>Miranda v. Arizona, 384 US 436, 491.</w:t>
      </w:r>
    </w:p>
  </w:footnote>
  <w:footnote w:id="17">
    <w:p w:rsidR="007E55D9" w:rsidRDefault="007E55D9" w:rsidP="007E55D9">
      <w:pPr>
        <w:pStyle w:val="FootnoteText"/>
        <w:jc w:val="both"/>
      </w:pPr>
      <w:r w:rsidRPr="007E55D9">
        <w:rPr>
          <w:rStyle w:val="FootnoteReference"/>
          <w:b/>
        </w:rPr>
        <w:footnoteRef/>
      </w:r>
      <w:r w:rsidRPr="007E55D9">
        <w:rPr>
          <w:b/>
        </w:rPr>
        <w:t xml:space="preserve"> COURT OF RECORD:</w:t>
      </w:r>
      <w:r w:rsidRPr="007E55D9">
        <w:t xml:space="preserve"> </w:t>
      </w:r>
      <w:r w:rsidR="00A80AFF">
        <w:t>“</w:t>
      </w:r>
      <w:r w:rsidRPr="007E55D9">
        <w:t>A judicial tribunal</w:t>
      </w:r>
      <w:r w:rsidR="00A80AFF">
        <w:t xml:space="preserve"> </w:t>
      </w:r>
      <w:r w:rsidRPr="007E55D9">
        <w:t xml:space="preserve">having attributes and exercising functions independently of the person of the magistrate designated generally to hold it </w:t>
      </w:r>
      <w:proofErr w:type="gramStart"/>
      <w:r w:rsidRPr="007E55D9">
        <w:t>Proceeding</w:t>
      </w:r>
      <w:proofErr w:type="gramEnd"/>
      <w:r w:rsidRPr="007E55D9">
        <w:t xml:space="preserve"> according to the course of common law</w:t>
      </w:r>
      <w:r>
        <w:t>.</w:t>
      </w:r>
      <w:r w:rsidR="00A80AFF">
        <w:t>”</w:t>
      </w:r>
      <w:r w:rsidRPr="007E55D9">
        <w:t xml:space="preserve"> Jones v. Jones, 188 </w:t>
      </w:r>
      <w:proofErr w:type="spellStart"/>
      <w:r w:rsidRPr="007E55D9">
        <w:t>Mo.App</w:t>
      </w:r>
      <w:proofErr w:type="spellEnd"/>
      <w:r w:rsidRPr="007E55D9">
        <w:t xml:space="preserve">. </w:t>
      </w:r>
      <w:proofErr w:type="gramStart"/>
      <w:r w:rsidRPr="007E55D9">
        <w:t xml:space="preserve">220, 175 S.W. 227, 229; Ex parte </w:t>
      </w:r>
      <w:proofErr w:type="spellStart"/>
      <w:r w:rsidRPr="007E55D9">
        <w:t>Gladhill</w:t>
      </w:r>
      <w:proofErr w:type="spellEnd"/>
      <w:r w:rsidRPr="007E55D9">
        <w:t xml:space="preserve">, 8 </w:t>
      </w:r>
      <w:proofErr w:type="spellStart"/>
      <w:r w:rsidRPr="007E55D9">
        <w:t>Metc</w:t>
      </w:r>
      <w:proofErr w:type="spellEnd"/>
      <w:r w:rsidRPr="007E55D9">
        <w:t>.</w:t>
      </w:r>
      <w:proofErr w:type="gramEnd"/>
      <w:r w:rsidRPr="007E55D9">
        <w:t xml:space="preserve"> </w:t>
      </w:r>
      <w:proofErr w:type="gramStart"/>
      <w:r w:rsidRPr="007E55D9">
        <w:t xml:space="preserve">Mass., 171, per Shaw, </w:t>
      </w:r>
      <w:proofErr w:type="spellStart"/>
      <w:r w:rsidRPr="007E55D9">
        <w:t>C.J</w:t>
      </w:r>
      <w:proofErr w:type="spellEnd"/>
      <w:r w:rsidRPr="007E55D9">
        <w:t>.</w:t>
      </w:r>
      <w:proofErr w:type="gramEnd"/>
      <w:r w:rsidRPr="007E55D9">
        <w:t xml:space="preserve"> See, also, </w:t>
      </w:r>
      <w:proofErr w:type="spellStart"/>
      <w:r w:rsidRPr="007E55D9">
        <w:t>Ledwith</w:t>
      </w:r>
      <w:proofErr w:type="spellEnd"/>
      <w:r w:rsidRPr="007E55D9">
        <w:t xml:space="preserve"> v. </w:t>
      </w:r>
      <w:proofErr w:type="spellStart"/>
      <w:r w:rsidRPr="007E55D9">
        <w:t>Rosalsky</w:t>
      </w:r>
      <w:proofErr w:type="spellEnd"/>
      <w:r w:rsidRPr="007E55D9">
        <w:t>, 244 N.Y. 406, 155 N.E. 688, 689</w:t>
      </w:r>
      <w:r>
        <w:t>.</w:t>
      </w:r>
    </w:p>
  </w:footnote>
  <w:footnote w:id="18">
    <w:p w:rsidR="007E55D9" w:rsidRDefault="007E55D9" w:rsidP="007E55D9">
      <w:pPr>
        <w:pStyle w:val="FootnoteText"/>
        <w:jc w:val="both"/>
      </w:pPr>
      <w:r w:rsidRPr="007E55D9">
        <w:rPr>
          <w:rStyle w:val="FootnoteReference"/>
          <w:b/>
        </w:rPr>
        <w:footnoteRef/>
      </w:r>
      <w:r w:rsidRPr="007E55D9">
        <w:rPr>
          <w:b/>
        </w:rPr>
        <w:t xml:space="preserve"> AT LAW</w:t>
      </w:r>
      <w:r>
        <w:rPr>
          <w:b/>
        </w:rPr>
        <w:t>:</w:t>
      </w:r>
      <w:r w:rsidRPr="007E55D9">
        <w:rPr>
          <w:b/>
        </w:rPr>
        <w:t xml:space="preserve"> </w:t>
      </w:r>
      <w:r>
        <w:t>[Bouvier's] This phrase is used to point out that a thing is to be done according to the course of the common law; it is distinguished from a proceeding in equity.; ALL CASES AT LAW. [Black's Law 4th] Within constitutional guaranty of jury trial, refers to common law ac-</w:t>
      </w:r>
      <w:proofErr w:type="spellStart"/>
      <w:r>
        <w:t>tions</w:t>
      </w:r>
      <w:proofErr w:type="spellEnd"/>
      <w:r>
        <w:t xml:space="preserve"> as distinguished from causes in equity and certain other proceedings. </w:t>
      </w:r>
      <w:proofErr w:type="spellStart"/>
      <w:r>
        <w:t>Breimhorst</w:t>
      </w:r>
      <w:proofErr w:type="spellEnd"/>
      <w:r>
        <w:t xml:space="preserve"> v. Beck-man, 227 Minn. 409, 35 N.W.2d 719, </w:t>
      </w:r>
      <w:proofErr w:type="gramStart"/>
      <w:r>
        <w:t>734.;</w:t>
      </w:r>
      <w:proofErr w:type="gramEnd"/>
      <w:r>
        <w:t xml:space="preserve"> AT LAW. [Black's Law 4th edition, 1891] According to law; by, for, or in law; particularly in distinction from that which is done in or according to equity; or in titles such as sergeant at law, barrister at law, attorney or counsellor at law. </w:t>
      </w:r>
      <w:proofErr w:type="gramStart"/>
      <w:r>
        <w:t>Hooker v. Nichols, 116 N.C. 157, 21 S.E. 208.</w:t>
      </w:r>
      <w:proofErr w:type="gramEnd"/>
    </w:p>
  </w:footnote>
  <w:footnote w:id="19">
    <w:p w:rsidR="007E55D9" w:rsidRPr="007E55D9" w:rsidRDefault="007E55D9" w:rsidP="007E55D9">
      <w:pPr>
        <w:pStyle w:val="FootnoteText"/>
        <w:jc w:val="both"/>
      </w:pPr>
      <w:r w:rsidRPr="007E55D9">
        <w:rPr>
          <w:rStyle w:val="FootnoteReference"/>
        </w:rPr>
        <w:footnoteRef/>
      </w:r>
      <w:r w:rsidRPr="007E55D9">
        <w:t xml:space="preserve"> </w:t>
      </w:r>
      <w:r w:rsidRPr="007E55D9">
        <w:rPr>
          <w:rFonts w:asciiTheme="majorHAnsi" w:eastAsia="Times New Roman" w:hAnsiTheme="majorHAnsi" w:cstheme="majorHAnsi"/>
        </w:rPr>
        <w:t xml:space="preserve">Ex parte Watkins, 3 Pet., at 202-203. </w:t>
      </w:r>
      <w:proofErr w:type="gramStart"/>
      <w:r w:rsidRPr="007E55D9">
        <w:rPr>
          <w:rFonts w:asciiTheme="majorHAnsi" w:eastAsia="Times New Roman" w:hAnsiTheme="majorHAnsi" w:cstheme="majorHAnsi"/>
        </w:rPr>
        <w:t>cited</w:t>
      </w:r>
      <w:proofErr w:type="gramEnd"/>
      <w:r w:rsidRPr="007E55D9">
        <w:rPr>
          <w:rFonts w:asciiTheme="majorHAnsi" w:eastAsia="Times New Roman" w:hAnsiTheme="majorHAnsi" w:cstheme="majorHAnsi"/>
        </w:rPr>
        <w:t xml:space="preserve"> by </w:t>
      </w:r>
      <w:proofErr w:type="spellStart"/>
      <w:r w:rsidRPr="007E55D9">
        <w:rPr>
          <w:rFonts w:asciiTheme="majorHAnsi" w:eastAsia="Times New Roman" w:hAnsiTheme="majorHAnsi" w:cstheme="majorHAnsi"/>
        </w:rPr>
        <w:t>SCHNECKLOTH</w:t>
      </w:r>
      <w:proofErr w:type="spellEnd"/>
      <w:r w:rsidRPr="007E55D9">
        <w:rPr>
          <w:rFonts w:asciiTheme="majorHAnsi" w:eastAsia="Times New Roman" w:hAnsiTheme="majorHAnsi" w:cstheme="majorHAnsi"/>
        </w:rPr>
        <w:t xml:space="preserve"> v. </w:t>
      </w:r>
      <w:proofErr w:type="spellStart"/>
      <w:r w:rsidRPr="007E55D9">
        <w:rPr>
          <w:rFonts w:asciiTheme="majorHAnsi" w:eastAsia="Times New Roman" w:hAnsiTheme="majorHAnsi" w:cstheme="majorHAnsi"/>
        </w:rPr>
        <w:t>BUSTAMONTE</w:t>
      </w:r>
      <w:proofErr w:type="spellEnd"/>
      <w:r w:rsidRPr="007E55D9">
        <w:rPr>
          <w:rFonts w:asciiTheme="majorHAnsi" w:eastAsia="Times New Roman" w:hAnsiTheme="majorHAnsi" w:cstheme="majorHAnsi"/>
        </w:rPr>
        <w:t>, 412 U.S. 218, 255 (1973).</w:t>
      </w:r>
    </w:p>
  </w:footnote>
  <w:footnote w:id="20">
    <w:p w:rsidR="007D62D2" w:rsidRPr="000E0275" w:rsidRDefault="007D62D2" w:rsidP="000E0275">
      <w:pPr>
        <w:pStyle w:val="FootnoteText"/>
        <w:jc w:val="both"/>
      </w:pPr>
      <w:r w:rsidRPr="000E0275">
        <w:rPr>
          <w:rStyle w:val="FootnoteReference"/>
        </w:rPr>
        <w:footnoteRef/>
      </w:r>
      <w:r w:rsidRPr="000E0275">
        <w:t xml:space="preserve"> </w:t>
      </w:r>
      <w:proofErr w:type="gramStart"/>
      <w:r w:rsidRPr="000E0275">
        <w:rPr>
          <w:rFonts w:cs="Times New Roman"/>
        </w:rPr>
        <w:t>5 Downs v. Bidwell, 182 U.S. 244 (1901)</w:t>
      </w:r>
      <w:r w:rsidR="00364163">
        <w:rPr>
          <w:rFonts w:cs="Times New Roman"/>
        </w:rPr>
        <w:t>.</w:t>
      </w:r>
      <w:proofErr w:type="gramEnd"/>
    </w:p>
  </w:footnote>
  <w:footnote w:id="21">
    <w:p w:rsidR="007D62D2" w:rsidRPr="000E0275" w:rsidRDefault="007D62D2" w:rsidP="000E0275">
      <w:pPr>
        <w:pStyle w:val="FootnoteText"/>
        <w:jc w:val="both"/>
      </w:pPr>
      <w:r w:rsidRPr="000E0275">
        <w:rPr>
          <w:rStyle w:val="FootnoteReference"/>
        </w:rPr>
        <w:footnoteRef/>
      </w:r>
      <w:r w:rsidRPr="000E0275">
        <w:t xml:space="preserve"> </w:t>
      </w:r>
      <w:proofErr w:type="gramStart"/>
      <w:r w:rsidRPr="000E0275">
        <w:rPr>
          <w:rFonts w:cs="Times New Roman"/>
        </w:rPr>
        <w:t>Marbury v. Madison, 5 U.S. 137 (1803) 5 U.S. 137 (</w:t>
      </w:r>
      <w:proofErr w:type="spellStart"/>
      <w:r w:rsidRPr="000E0275">
        <w:rPr>
          <w:rFonts w:cs="Times New Roman"/>
        </w:rPr>
        <w:t>Cranch</w:t>
      </w:r>
      <w:proofErr w:type="spellEnd"/>
      <w:r w:rsidRPr="000E0275">
        <w:rPr>
          <w:rFonts w:cs="Times New Roman"/>
        </w:rPr>
        <w:t>) 1803</w:t>
      </w:r>
      <w:r w:rsidR="00364163">
        <w:rPr>
          <w:rFonts w:cs="Times New Roman"/>
        </w:rPr>
        <w:t>.</w:t>
      </w:r>
      <w:proofErr w:type="gramEnd"/>
    </w:p>
  </w:footnote>
  <w:footnote w:id="22">
    <w:p w:rsidR="009271A9" w:rsidRPr="000E0275" w:rsidRDefault="009271A9" w:rsidP="000E0275">
      <w:pPr>
        <w:pStyle w:val="FootnoteText"/>
        <w:jc w:val="both"/>
      </w:pPr>
      <w:r w:rsidRPr="000E0275">
        <w:rPr>
          <w:rStyle w:val="FootnoteReference"/>
        </w:rPr>
        <w:footnoteRef/>
      </w:r>
      <w:r w:rsidRPr="000E0275">
        <w:t xml:space="preserve"> </w:t>
      </w:r>
      <w:r w:rsidRPr="000E0275">
        <w:rPr>
          <w:rFonts w:cs="Times New Roman"/>
        </w:rPr>
        <w:t>Hoke vs. Henderson</w:t>
      </w:r>
      <w:proofErr w:type="gramStart"/>
      <w:r w:rsidRPr="000E0275">
        <w:rPr>
          <w:rFonts w:cs="Times New Roman"/>
        </w:rPr>
        <w:t>,15</w:t>
      </w:r>
      <w:proofErr w:type="gramEnd"/>
      <w:r w:rsidRPr="000E0275">
        <w:rPr>
          <w:rFonts w:cs="Times New Roman"/>
        </w:rPr>
        <w:t>, N.C.15,25 AM Dec 677</w:t>
      </w:r>
      <w:r w:rsidR="00364163">
        <w:rPr>
          <w:rFonts w:cs="Times New Roman"/>
        </w:rPr>
        <w:t>.</w:t>
      </w:r>
    </w:p>
  </w:footnote>
  <w:footnote w:id="23">
    <w:p w:rsidR="007D62D2" w:rsidRPr="000E0275" w:rsidRDefault="007D62D2" w:rsidP="000E0275">
      <w:pPr>
        <w:pStyle w:val="FootnoteText"/>
        <w:jc w:val="both"/>
      </w:pPr>
      <w:r w:rsidRPr="000E0275">
        <w:rPr>
          <w:rStyle w:val="FootnoteReference"/>
        </w:rPr>
        <w:footnoteRef/>
      </w:r>
      <w:r w:rsidRPr="000E0275">
        <w:t xml:space="preserve"> </w:t>
      </w:r>
      <w:r w:rsidRPr="000E0275">
        <w:rPr>
          <w:rFonts w:cs="Times New Roman"/>
        </w:rPr>
        <w:t>Miranda v. Arizona, 384 U.S. 436, 491</w:t>
      </w:r>
      <w:r w:rsidR="00364163">
        <w:rPr>
          <w:rFonts w:cs="Times New Roman"/>
        </w:rPr>
        <w:t>.</w:t>
      </w:r>
    </w:p>
  </w:footnote>
  <w:footnote w:id="24">
    <w:p w:rsidR="009271A9" w:rsidRPr="000E0275" w:rsidRDefault="009271A9" w:rsidP="000E0275">
      <w:pPr>
        <w:pStyle w:val="FootnoteText"/>
        <w:jc w:val="both"/>
      </w:pPr>
      <w:r w:rsidRPr="000E0275">
        <w:rPr>
          <w:rStyle w:val="FootnoteReference"/>
        </w:rPr>
        <w:footnoteRef/>
      </w:r>
      <w:r w:rsidRPr="000E0275">
        <w:t xml:space="preserve"> </w:t>
      </w:r>
      <w:proofErr w:type="spellStart"/>
      <w:proofErr w:type="gramStart"/>
      <w:r w:rsidRPr="000E0275">
        <w:rPr>
          <w:rFonts w:cs="Times New Roman"/>
        </w:rPr>
        <w:t>Ableman</w:t>
      </w:r>
      <w:proofErr w:type="spellEnd"/>
      <w:r w:rsidRPr="000E0275">
        <w:rPr>
          <w:rFonts w:cs="Times New Roman"/>
        </w:rPr>
        <w:t xml:space="preserve"> v. Booth, 21 Howard 506 (1859)</w:t>
      </w:r>
      <w:r w:rsidR="00364163">
        <w:rPr>
          <w:rFonts w:cs="Times New Roman"/>
        </w:rPr>
        <w:t>.</w:t>
      </w:r>
      <w:proofErr w:type="gramEnd"/>
    </w:p>
  </w:footnote>
  <w:footnote w:id="25">
    <w:p w:rsidR="009271A9" w:rsidRPr="000E0275" w:rsidRDefault="009271A9" w:rsidP="000E0275">
      <w:pPr>
        <w:pStyle w:val="FootnoteText"/>
        <w:jc w:val="both"/>
      </w:pPr>
      <w:r w:rsidRPr="000E0275">
        <w:rPr>
          <w:rStyle w:val="FootnoteReference"/>
        </w:rPr>
        <w:footnoteRef/>
      </w:r>
      <w:r w:rsidRPr="000E0275">
        <w:t xml:space="preserve"> </w:t>
      </w:r>
      <w:r w:rsidRPr="000E0275">
        <w:rPr>
          <w:rFonts w:cs="Times New Roman"/>
        </w:rPr>
        <w:t xml:space="preserve">Cohen v. Virginia, (1821), </w:t>
      </w:r>
      <w:proofErr w:type="gramStart"/>
      <w:r w:rsidRPr="000E0275">
        <w:rPr>
          <w:rFonts w:cs="Times New Roman"/>
        </w:rPr>
        <w:t>6 Wheat</w:t>
      </w:r>
      <w:proofErr w:type="gramEnd"/>
      <w:r w:rsidRPr="000E0275">
        <w:rPr>
          <w:rFonts w:cs="Times New Roman"/>
        </w:rPr>
        <w:t xml:space="preserve">. </w:t>
      </w:r>
      <w:proofErr w:type="gramStart"/>
      <w:r w:rsidRPr="000E0275">
        <w:rPr>
          <w:rFonts w:cs="Times New Roman"/>
        </w:rPr>
        <w:t>264 and U.S. v.</w:t>
      </w:r>
      <w:proofErr w:type="gramEnd"/>
      <w:r w:rsidRPr="000E0275">
        <w:rPr>
          <w:rFonts w:cs="Times New Roman"/>
        </w:rPr>
        <w:t xml:space="preserve"> Will, 449 U.S. 200</w:t>
      </w:r>
      <w:r w:rsidR="00364163">
        <w:rPr>
          <w:rFonts w:cs="Times New Roman"/>
        </w:rPr>
        <w:t>.</w:t>
      </w:r>
    </w:p>
  </w:footnote>
  <w:footnote w:id="26">
    <w:p w:rsidR="009271A9" w:rsidRPr="000E0275" w:rsidRDefault="009271A9" w:rsidP="000E0275">
      <w:pPr>
        <w:pStyle w:val="FootnoteText"/>
        <w:jc w:val="both"/>
      </w:pPr>
      <w:r w:rsidRPr="000E0275">
        <w:rPr>
          <w:rStyle w:val="FootnoteReference"/>
        </w:rPr>
        <w:footnoteRef/>
      </w:r>
      <w:r w:rsidRPr="000E0275">
        <w:t xml:space="preserve"> </w:t>
      </w:r>
      <w:proofErr w:type="gramStart"/>
      <w:r w:rsidRPr="000E0275">
        <w:rPr>
          <w:rFonts w:cs="Times New Roman"/>
        </w:rPr>
        <w:t>Marbury v. Madison, 5 U.S. 137 (1803) 5 U.S. 137 (</w:t>
      </w:r>
      <w:proofErr w:type="spellStart"/>
      <w:r w:rsidRPr="000E0275">
        <w:rPr>
          <w:rFonts w:cs="Times New Roman"/>
        </w:rPr>
        <w:t>Cranch</w:t>
      </w:r>
      <w:proofErr w:type="spellEnd"/>
      <w:r w:rsidRPr="000E0275">
        <w:rPr>
          <w:rFonts w:cs="Times New Roman"/>
        </w:rPr>
        <w:t>) 1803</w:t>
      </w:r>
      <w:r w:rsidR="00364163">
        <w:rPr>
          <w:rFonts w:cs="Times New Roman"/>
        </w:rPr>
        <w:t>.</w:t>
      </w:r>
      <w:proofErr w:type="gramEnd"/>
    </w:p>
  </w:footnote>
  <w:footnote w:id="27">
    <w:p w:rsidR="009271A9" w:rsidRPr="000E0275" w:rsidRDefault="009271A9" w:rsidP="000E0275">
      <w:pPr>
        <w:pStyle w:val="FootnoteText"/>
        <w:jc w:val="both"/>
      </w:pPr>
      <w:r w:rsidRPr="000E0275">
        <w:rPr>
          <w:rStyle w:val="FootnoteReference"/>
        </w:rPr>
        <w:footnoteRef/>
      </w:r>
      <w:r w:rsidRPr="000E0275">
        <w:t xml:space="preserve"> </w:t>
      </w:r>
      <w:proofErr w:type="spellStart"/>
      <w:r w:rsidRPr="000E0275">
        <w:rPr>
          <w:rFonts w:asciiTheme="minorHAnsi" w:hAnsiTheme="minorHAnsi" w:cstheme="minorHAnsi"/>
        </w:rPr>
        <w:t>Yick</w:t>
      </w:r>
      <w:proofErr w:type="spellEnd"/>
      <w:r w:rsidRPr="000E0275">
        <w:rPr>
          <w:rFonts w:asciiTheme="minorHAnsi" w:hAnsiTheme="minorHAnsi" w:cstheme="minorHAnsi"/>
        </w:rPr>
        <w:t xml:space="preserve"> </w:t>
      </w:r>
      <w:proofErr w:type="gramStart"/>
      <w:r w:rsidRPr="000E0275">
        <w:rPr>
          <w:rFonts w:asciiTheme="minorHAnsi" w:hAnsiTheme="minorHAnsi" w:cstheme="minorHAnsi"/>
        </w:rPr>
        <w:t>Wo</w:t>
      </w:r>
      <w:proofErr w:type="gramEnd"/>
      <w:r w:rsidRPr="000E0275">
        <w:rPr>
          <w:rFonts w:asciiTheme="minorHAnsi" w:hAnsiTheme="minorHAnsi" w:cstheme="minorHAnsi"/>
        </w:rPr>
        <w:t xml:space="preserve"> v. Hopkins, 118 US 356, 370</w:t>
      </w:r>
      <w:r w:rsidR="00364163">
        <w:rPr>
          <w:rFonts w:asciiTheme="minorHAnsi" w:hAnsiTheme="minorHAnsi" w:cstheme="minorHAnsi"/>
        </w:rPr>
        <w:t>.</w:t>
      </w:r>
    </w:p>
  </w:footnote>
  <w:footnote w:id="28">
    <w:p w:rsidR="009271A9" w:rsidRPr="000E0275" w:rsidRDefault="009271A9" w:rsidP="000E0275">
      <w:pPr>
        <w:pStyle w:val="FootnoteText"/>
        <w:jc w:val="both"/>
      </w:pPr>
      <w:r w:rsidRPr="000E0275">
        <w:rPr>
          <w:rStyle w:val="FootnoteReference"/>
        </w:rPr>
        <w:footnoteRef/>
      </w:r>
      <w:r w:rsidRPr="000E0275">
        <w:t xml:space="preserve"> </w:t>
      </w:r>
      <w:r w:rsidRPr="000E0275">
        <w:rPr>
          <w:lang w:bidi="he-IL"/>
        </w:rPr>
        <w:t>CHISHOLM v. GEORGIA (US) 2 Dall 419, 454, 1 L Ed 440, 455 @DALL (1793) pp471-472</w:t>
      </w:r>
      <w:r w:rsidR="00364163">
        <w:rPr>
          <w:lang w:bidi="he-IL"/>
        </w:rPr>
        <w:t>.</w:t>
      </w:r>
    </w:p>
  </w:footnote>
  <w:footnote w:id="29">
    <w:p w:rsidR="003A54E6" w:rsidRPr="000E0275" w:rsidRDefault="003A54E6" w:rsidP="000E0275">
      <w:pPr>
        <w:pStyle w:val="FootnoteText"/>
        <w:jc w:val="both"/>
      </w:pPr>
      <w:r w:rsidRPr="000E0275">
        <w:rPr>
          <w:rStyle w:val="FootnoteReference"/>
        </w:rPr>
        <w:footnoteRef/>
      </w:r>
      <w:r w:rsidRPr="000E0275">
        <w:t xml:space="preserve"> </w:t>
      </w:r>
      <w:r w:rsidRPr="000E0275">
        <w:rPr>
          <w:lang w:bidi="he-IL"/>
        </w:rPr>
        <w:t xml:space="preserve">American Banana Co. v. United Fruit Co., 29 </w:t>
      </w:r>
      <w:proofErr w:type="spellStart"/>
      <w:r w:rsidRPr="000E0275">
        <w:rPr>
          <w:lang w:bidi="he-IL"/>
        </w:rPr>
        <w:t>S.Ct</w:t>
      </w:r>
      <w:proofErr w:type="spellEnd"/>
      <w:r w:rsidRPr="000E0275">
        <w:rPr>
          <w:lang w:bidi="he-IL"/>
        </w:rPr>
        <w:t xml:space="preserve">. 511, 513, 213 U.S. 347, </w:t>
      </w:r>
      <w:proofErr w:type="gramStart"/>
      <w:r w:rsidRPr="000E0275">
        <w:rPr>
          <w:lang w:bidi="he-IL"/>
        </w:rPr>
        <w:t xml:space="preserve">53 </w:t>
      </w:r>
      <w:proofErr w:type="spellStart"/>
      <w:r w:rsidRPr="000E0275">
        <w:rPr>
          <w:lang w:bidi="he-IL"/>
        </w:rPr>
        <w:t>L.Ed</w:t>
      </w:r>
      <w:proofErr w:type="spellEnd"/>
      <w:proofErr w:type="gramEnd"/>
      <w:r w:rsidRPr="000E0275">
        <w:rPr>
          <w:lang w:bidi="he-IL"/>
        </w:rPr>
        <w:t xml:space="preserve">. </w:t>
      </w:r>
      <w:proofErr w:type="gramStart"/>
      <w:r w:rsidRPr="000E0275">
        <w:rPr>
          <w:lang w:bidi="he-IL"/>
        </w:rPr>
        <w:t xml:space="preserve">826, 19 </w:t>
      </w:r>
      <w:proofErr w:type="spellStart"/>
      <w:r w:rsidRPr="000E0275">
        <w:rPr>
          <w:lang w:bidi="he-IL"/>
        </w:rPr>
        <w:t>Ann.Cas</w:t>
      </w:r>
      <w:proofErr w:type="spellEnd"/>
      <w:r w:rsidRPr="000E0275">
        <w:rPr>
          <w:lang w:bidi="he-IL"/>
        </w:rPr>
        <w:t>.</w:t>
      </w:r>
      <w:proofErr w:type="gramEnd"/>
      <w:r w:rsidRPr="000E0275">
        <w:rPr>
          <w:lang w:bidi="he-IL"/>
        </w:rPr>
        <w:t xml:space="preserve"> 1047</w:t>
      </w:r>
      <w:r w:rsidR="00364163">
        <w:rPr>
          <w:lang w:bidi="he-IL"/>
        </w:rPr>
        <w:t>.</w:t>
      </w:r>
    </w:p>
  </w:footnote>
  <w:footnote w:id="30">
    <w:p w:rsidR="003A54E6" w:rsidRPr="000E0275" w:rsidRDefault="003A54E6" w:rsidP="000E0275">
      <w:pPr>
        <w:pStyle w:val="FootnoteText"/>
        <w:jc w:val="both"/>
      </w:pPr>
      <w:r w:rsidRPr="000E0275">
        <w:rPr>
          <w:rStyle w:val="FootnoteReference"/>
        </w:rPr>
        <w:footnoteRef/>
      </w:r>
      <w:r w:rsidRPr="000E0275">
        <w:t xml:space="preserve"> Basso v. </w:t>
      </w:r>
      <w:proofErr w:type="spellStart"/>
      <w:r w:rsidRPr="000E0275">
        <w:t>UPL</w:t>
      </w:r>
      <w:proofErr w:type="spellEnd"/>
      <w:r w:rsidRPr="000E0275">
        <w:t xml:space="preserve">, 495 F. 2d 906; Brook v. </w:t>
      </w:r>
      <w:proofErr w:type="spellStart"/>
      <w:r w:rsidRPr="000E0275">
        <w:t>Yawkey</w:t>
      </w:r>
      <w:proofErr w:type="spellEnd"/>
      <w:r w:rsidRPr="000E0275">
        <w:t xml:space="preserve">, 200 F. 2d 633; Elliot v. </w:t>
      </w:r>
      <w:proofErr w:type="spellStart"/>
      <w:r w:rsidRPr="000E0275">
        <w:t>Piersol</w:t>
      </w:r>
      <w:proofErr w:type="spellEnd"/>
      <w:r w:rsidRPr="000E0275">
        <w:t>, 1 Pet. 328, 340, 26 U.S. 328, 340 (1828)</w:t>
      </w:r>
    </w:p>
  </w:footnote>
  <w:footnote w:id="31">
    <w:p w:rsidR="00F245EA" w:rsidRPr="000E0275" w:rsidRDefault="00F245EA" w:rsidP="000E0275">
      <w:pPr>
        <w:pStyle w:val="FootnoteText"/>
        <w:jc w:val="both"/>
      </w:pPr>
      <w:r w:rsidRPr="000E0275">
        <w:rPr>
          <w:rStyle w:val="FootnoteReference"/>
        </w:rPr>
        <w:footnoteRef/>
      </w:r>
      <w:r w:rsidRPr="000E0275">
        <w:t xml:space="preserve"> </w:t>
      </w:r>
      <w:proofErr w:type="gramStart"/>
      <w:r w:rsidRPr="000E0275">
        <w:rPr>
          <w:rFonts w:eastAsia="Times New Roman" w:cs="Times New Roman"/>
        </w:rPr>
        <w:t>3 Bl. Comm. 24; 3 Steph.</w:t>
      </w:r>
      <w:proofErr w:type="gramEnd"/>
      <w:r w:rsidRPr="000E0275">
        <w:rPr>
          <w:rFonts w:eastAsia="Times New Roman" w:cs="Times New Roman"/>
        </w:rPr>
        <w:t xml:space="preserve"> </w:t>
      </w:r>
      <w:proofErr w:type="gramStart"/>
      <w:r w:rsidRPr="000E0275">
        <w:rPr>
          <w:rFonts w:eastAsia="Times New Roman" w:cs="Times New Roman"/>
        </w:rPr>
        <w:t xml:space="preserve">Comm. 383; The Thomas Fletcher, </w:t>
      </w:r>
      <w:proofErr w:type="spellStart"/>
      <w:r w:rsidRPr="000E0275">
        <w:rPr>
          <w:rFonts w:eastAsia="Times New Roman" w:cs="Times New Roman"/>
        </w:rPr>
        <w:t>C.C.Ga</w:t>
      </w:r>
      <w:proofErr w:type="spellEnd"/>
      <w:r w:rsidRPr="000E0275">
        <w:rPr>
          <w:rFonts w:eastAsia="Times New Roman" w:cs="Times New Roman"/>
        </w:rPr>
        <w:t xml:space="preserve">., 24 F. 481; Ex parte </w:t>
      </w:r>
      <w:proofErr w:type="spellStart"/>
      <w:r w:rsidRPr="000E0275">
        <w:rPr>
          <w:rFonts w:eastAsia="Times New Roman" w:cs="Times New Roman"/>
        </w:rPr>
        <w:t>Thistleton</w:t>
      </w:r>
      <w:proofErr w:type="spellEnd"/>
      <w:r w:rsidRPr="000E0275">
        <w:rPr>
          <w:rFonts w:eastAsia="Times New Roman" w:cs="Times New Roman"/>
        </w:rPr>
        <w:t xml:space="preserve">, 52 Cal 225; Erwin v. U.S., </w:t>
      </w:r>
      <w:proofErr w:type="spellStart"/>
      <w:r w:rsidRPr="000E0275">
        <w:rPr>
          <w:rFonts w:eastAsia="Times New Roman" w:cs="Times New Roman"/>
        </w:rPr>
        <w:t>D.C.Ga</w:t>
      </w:r>
      <w:proofErr w:type="spellEnd"/>
      <w:r w:rsidRPr="000E0275">
        <w:rPr>
          <w:rFonts w:eastAsia="Times New Roman" w:cs="Times New Roman"/>
        </w:rPr>
        <w:t xml:space="preserve">., 37 F. 488, 2 </w:t>
      </w:r>
      <w:proofErr w:type="spellStart"/>
      <w:r w:rsidRPr="000E0275">
        <w:rPr>
          <w:rFonts w:eastAsia="Times New Roman" w:cs="Times New Roman"/>
        </w:rPr>
        <w:t>L.R.A</w:t>
      </w:r>
      <w:proofErr w:type="spellEnd"/>
      <w:r w:rsidRPr="000E0275">
        <w:rPr>
          <w:rFonts w:eastAsia="Times New Roman" w:cs="Times New Roman"/>
        </w:rPr>
        <w:t xml:space="preserve">. 229; </w:t>
      </w:r>
      <w:proofErr w:type="spellStart"/>
      <w:r w:rsidRPr="000E0275">
        <w:rPr>
          <w:rFonts w:eastAsia="Times New Roman" w:cs="Times New Roman"/>
        </w:rPr>
        <w:t>Heininger</w:t>
      </w:r>
      <w:proofErr w:type="spellEnd"/>
      <w:r w:rsidRPr="000E0275">
        <w:rPr>
          <w:rFonts w:eastAsia="Times New Roman" w:cs="Times New Roman"/>
        </w:rPr>
        <w:t xml:space="preserve"> v. Davis, 96 Ohio St. 205, 117 N.E. 229, 231</w:t>
      </w:r>
      <w:r w:rsidR="00364163">
        <w:rPr>
          <w:rFonts w:eastAsia="Times New Roman" w:cs="Times New Roman"/>
        </w:rPr>
        <w:t>.</w:t>
      </w:r>
      <w:proofErr w:type="gramEnd"/>
    </w:p>
  </w:footnote>
  <w:footnote w:id="32">
    <w:p w:rsidR="0099617F" w:rsidRPr="000E0275" w:rsidRDefault="0099617F" w:rsidP="000E0275">
      <w:pPr>
        <w:pStyle w:val="FootnoteText"/>
        <w:jc w:val="both"/>
      </w:pPr>
      <w:r w:rsidRPr="000E0275">
        <w:rPr>
          <w:rStyle w:val="FootnoteReference"/>
        </w:rPr>
        <w:footnoteRef/>
      </w:r>
      <w:r w:rsidRPr="000E0275">
        <w:t xml:space="preserve"> </w:t>
      </w:r>
      <w:r w:rsidRPr="000E0275">
        <w:rPr>
          <w:rFonts w:eastAsia="Times New Roman" w:cs="Times New Roman"/>
        </w:rPr>
        <w:t xml:space="preserve">Jones v. Jones, </w:t>
      </w:r>
      <w:proofErr w:type="gramStart"/>
      <w:r w:rsidRPr="000E0275">
        <w:rPr>
          <w:rFonts w:eastAsia="Times New Roman" w:cs="Times New Roman"/>
        </w:rPr>
        <w:t xml:space="preserve">188 </w:t>
      </w:r>
      <w:proofErr w:type="spellStart"/>
      <w:r w:rsidRPr="000E0275">
        <w:rPr>
          <w:rFonts w:eastAsia="Times New Roman" w:cs="Times New Roman"/>
        </w:rPr>
        <w:t>Mo.App</w:t>
      </w:r>
      <w:proofErr w:type="spellEnd"/>
      <w:proofErr w:type="gramEnd"/>
      <w:r w:rsidRPr="000E0275">
        <w:rPr>
          <w:rFonts w:eastAsia="Times New Roman" w:cs="Times New Roman"/>
        </w:rPr>
        <w:t xml:space="preserve">. </w:t>
      </w:r>
      <w:proofErr w:type="gramStart"/>
      <w:r w:rsidRPr="000E0275">
        <w:rPr>
          <w:rFonts w:eastAsia="Times New Roman" w:cs="Times New Roman"/>
        </w:rPr>
        <w:t xml:space="preserve">220, 175 S.W. 227, 229; Ex parte </w:t>
      </w:r>
      <w:proofErr w:type="spellStart"/>
      <w:r w:rsidRPr="000E0275">
        <w:rPr>
          <w:rFonts w:eastAsia="Times New Roman" w:cs="Times New Roman"/>
        </w:rPr>
        <w:t>Gladhill</w:t>
      </w:r>
      <w:proofErr w:type="spellEnd"/>
      <w:r w:rsidRPr="000E0275">
        <w:rPr>
          <w:rFonts w:eastAsia="Times New Roman" w:cs="Times New Roman"/>
        </w:rPr>
        <w:t xml:space="preserve">, 8 </w:t>
      </w:r>
      <w:proofErr w:type="spellStart"/>
      <w:r w:rsidRPr="000E0275">
        <w:rPr>
          <w:rFonts w:eastAsia="Times New Roman" w:cs="Times New Roman"/>
        </w:rPr>
        <w:t>Metc</w:t>
      </w:r>
      <w:proofErr w:type="spellEnd"/>
      <w:r w:rsidRPr="000E0275">
        <w:rPr>
          <w:rFonts w:eastAsia="Times New Roman" w:cs="Times New Roman"/>
        </w:rPr>
        <w:t>.</w:t>
      </w:r>
      <w:proofErr w:type="gramEnd"/>
      <w:r w:rsidRPr="000E0275">
        <w:rPr>
          <w:rFonts w:eastAsia="Times New Roman" w:cs="Times New Roman"/>
        </w:rPr>
        <w:t xml:space="preserve"> </w:t>
      </w:r>
      <w:proofErr w:type="gramStart"/>
      <w:r w:rsidRPr="000E0275">
        <w:rPr>
          <w:rFonts w:eastAsia="Times New Roman" w:cs="Times New Roman"/>
        </w:rPr>
        <w:t xml:space="preserve">Mass., 171, per Shaw, </w:t>
      </w:r>
      <w:proofErr w:type="spellStart"/>
      <w:r w:rsidRPr="000E0275">
        <w:rPr>
          <w:rFonts w:eastAsia="Times New Roman" w:cs="Times New Roman"/>
        </w:rPr>
        <w:t>C.J</w:t>
      </w:r>
      <w:proofErr w:type="spellEnd"/>
      <w:r w:rsidRPr="000E0275">
        <w:rPr>
          <w:rFonts w:eastAsia="Times New Roman" w:cs="Times New Roman"/>
        </w:rPr>
        <w:t>.</w:t>
      </w:r>
      <w:proofErr w:type="gramEnd"/>
      <w:r w:rsidR="00A80AFF">
        <w:rPr>
          <w:rFonts w:eastAsia="Times New Roman" w:cs="Times New Roman"/>
        </w:rPr>
        <w:t xml:space="preserve"> </w:t>
      </w:r>
      <w:r w:rsidRPr="000E0275">
        <w:rPr>
          <w:rFonts w:eastAsia="Times New Roman" w:cs="Times New Roman"/>
        </w:rPr>
        <w:t xml:space="preserve">See, also, </w:t>
      </w:r>
      <w:proofErr w:type="spellStart"/>
      <w:r w:rsidRPr="000E0275">
        <w:rPr>
          <w:rFonts w:eastAsia="Times New Roman" w:cs="Times New Roman"/>
        </w:rPr>
        <w:t>Ledwith</w:t>
      </w:r>
      <w:proofErr w:type="spellEnd"/>
      <w:r w:rsidRPr="000E0275">
        <w:rPr>
          <w:rFonts w:eastAsia="Times New Roman" w:cs="Times New Roman"/>
        </w:rPr>
        <w:t xml:space="preserve"> v. </w:t>
      </w:r>
      <w:proofErr w:type="spellStart"/>
      <w:r w:rsidRPr="000E0275">
        <w:rPr>
          <w:rFonts w:eastAsia="Times New Roman" w:cs="Times New Roman"/>
        </w:rPr>
        <w:t>Rosalsky</w:t>
      </w:r>
      <w:proofErr w:type="spellEnd"/>
      <w:r w:rsidRPr="000E0275">
        <w:rPr>
          <w:rFonts w:eastAsia="Times New Roman" w:cs="Times New Roman"/>
        </w:rPr>
        <w:t>, 244 N.Y. 406, 155 N.E. 688, 689.</w:t>
      </w:r>
    </w:p>
  </w:footnote>
  <w:footnote w:id="33">
    <w:p w:rsidR="000E0275" w:rsidRPr="000E0275" w:rsidRDefault="000E0275" w:rsidP="000E0275">
      <w:pPr>
        <w:pStyle w:val="FootnoteText"/>
        <w:jc w:val="both"/>
      </w:pPr>
      <w:r w:rsidRPr="000E0275">
        <w:rPr>
          <w:rStyle w:val="FootnoteReference"/>
        </w:rPr>
        <w:footnoteRef/>
      </w:r>
      <w:r w:rsidRPr="000E0275">
        <w:t xml:space="preserve"> </w:t>
      </w:r>
      <w:r w:rsidRPr="000E0275">
        <w:rPr>
          <w:rFonts w:cs="Times New Roman"/>
        </w:rPr>
        <w:t>- Marbury v. Madison: 5 US 137 (1803); All cases which have cited Marbury v. Madison case, to the Supreme Court has not ever been over turned. - See Shephard's Citation of Marbury v. Madison.</w:t>
      </w:r>
    </w:p>
  </w:footnote>
  <w:footnote w:id="34">
    <w:p w:rsidR="00F245EA" w:rsidRPr="000E0275" w:rsidRDefault="00F245EA" w:rsidP="000E0275">
      <w:pPr>
        <w:pStyle w:val="FootnoteText"/>
        <w:jc w:val="both"/>
      </w:pPr>
      <w:r w:rsidRPr="000E0275">
        <w:rPr>
          <w:rStyle w:val="FootnoteReference"/>
        </w:rPr>
        <w:footnoteRef/>
      </w:r>
      <w:r w:rsidRPr="000E0275">
        <w:t xml:space="preserve"> </w:t>
      </w:r>
      <w:proofErr w:type="gramStart"/>
      <w:r w:rsidRPr="000E0275">
        <w:rPr>
          <w:rFonts w:cs="Times New Roman"/>
        </w:rPr>
        <w:t>5 U.S. §137, 163</w:t>
      </w:r>
      <w:r w:rsidR="00364163">
        <w:rPr>
          <w:rFonts w:cs="Times New Roman"/>
        </w:rPr>
        <w:t>.</w:t>
      </w:r>
      <w:proofErr w:type="gramEnd"/>
    </w:p>
  </w:footnote>
  <w:footnote w:id="35">
    <w:p w:rsidR="0078505C" w:rsidRDefault="0078505C">
      <w:pPr>
        <w:pStyle w:val="FootnoteText"/>
      </w:pPr>
      <w:r>
        <w:rPr>
          <w:rStyle w:val="FootnoteReference"/>
        </w:rPr>
        <w:footnoteRef/>
      </w:r>
      <w:r>
        <w:t xml:space="preserve"> </w:t>
      </w:r>
      <w:proofErr w:type="gramStart"/>
      <w:r w:rsidRPr="0078505C">
        <w:rPr>
          <w:rFonts w:cs="Times New Roman"/>
          <w:szCs w:val="28"/>
        </w:rPr>
        <w:t>5 U.S. 137, 164</w:t>
      </w:r>
      <w:r w:rsidR="00364163">
        <w:rPr>
          <w:rFonts w:cs="Times New Roman"/>
          <w:szCs w:val="28"/>
        </w:rPr>
        <w:t>.</w:t>
      </w:r>
      <w:proofErr w:type="gramEnd"/>
    </w:p>
  </w:footnote>
  <w:footnote w:id="36">
    <w:p w:rsidR="000E0275" w:rsidRDefault="000E0275">
      <w:pPr>
        <w:pStyle w:val="FootnoteText"/>
      </w:pPr>
      <w:r>
        <w:rPr>
          <w:rStyle w:val="FootnoteReference"/>
        </w:rPr>
        <w:footnoteRef/>
      </w:r>
      <w:r>
        <w:t xml:space="preserve"> </w:t>
      </w:r>
      <w:r w:rsidRPr="00626FF0">
        <w:rPr>
          <w:rFonts w:cs="Times New Roman"/>
          <w:szCs w:val="28"/>
        </w:rPr>
        <w:t>Marbury v. Madison: 5 US 137 (1803)</w:t>
      </w:r>
      <w:r w:rsidR="00364163">
        <w:rPr>
          <w:rFonts w:cs="Times New Roman"/>
          <w:szCs w:val="28"/>
        </w:rPr>
        <w:t>.</w:t>
      </w:r>
    </w:p>
  </w:footnote>
  <w:footnote w:id="37">
    <w:p w:rsidR="000E0275" w:rsidRDefault="000E0275">
      <w:pPr>
        <w:pStyle w:val="FootnoteText"/>
      </w:pPr>
      <w:r>
        <w:rPr>
          <w:rStyle w:val="FootnoteReference"/>
        </w:rPr>
        <w:footnoteRef/>
      </w:r>
      <w:r>
        <w:t xml:space="preserve"> </w:t>
      </w:r>
      <w:proofErr w:type="spellStart"/>
      <w:proofErr w:type="gramStart"/>
      <w:r>
        <w:t>Anti Federalist</w:t>
      </w:r>
      <w:proofErr w:type="spellEnd"/>
      <w:r>
        <w:t xml:space="preserve"> No 41-43 (Part II)</w:t>
      </w:r>
      <w:r w:rsidR="00364163">
        <w:t>.</w:t>
      </w:r>
      <w:proofErr w:type="gramEnd"/>
    </w:p>
  </w:footnote>
  <w:footnote w:id="38">
    <w:p w:rsidR="000E0275" w:rsidRDefault="000E0275" w:rsidP="000254A6">
      <w:pPr>
        <w:pStyle w:val="FootnoteText"/>
        <w:jc w:val="both"/>
      </w:pPr>
      <w:r>
        <w:rPr>
          <w:rStyle w:val="FootnoteReference"/>
        </w:rPr>
        <w:footnoteRef/>
      </w:r>
      <w:r>
        <w:t xml:space="preserve"> </w:t>
      </w:r>
      <w:proofErr w:type="spellStart"/>
      <w:proofErr w:type="gramStart"/>
      <w:r>
        <w:t>Anti Federalist</w:t>
      </w:r>
      <w:proofErr w:type="spellEnd"/>
      <w:r>
        <w:t xml:space="preserve"> No 45</w:t>
      </w:r>
      <w:r w:rsidR="000254A6">
        <w:t>.</w:t>
      </w:r>
      <w:proofErr w:type="gramEnd"/>
    </w:p>
  </w:footnote>
  <w:footnote w:id="39">
    <w:p w:rsidR="000E0275" w:rsidRDefault="000E0275" w:rsidP="000254A6">
      <w:pPr>
        <w:pStyle w:val="FootnoteText"/>
        <w:jc w:val="both"/>
      </w:pPr>
      <w:r>
        <w:rPr>
          <w:rStyle w:val="FootnoteReference"/>
        </w:rPr>
        <w:footnoteRef/>
      </w:r>
      <w:r>
        <w:t xml:space="preserve"> </w:t>
      </w:r>
      <w:proofErr w:type="gramStart"/>
      <w:r>
        <w:t>Trial by Jury by Lysander Spooner</w:t>
      </w:r>
      <w:r w:rsidR="000254A6">
        <w:t>.</w:t>
      </w:r>
      <w:proofErr w:type="gramEnd"/>
    </w:p>
  </w:footnote>
  <w:footnote w:id="40">
    <w:p w:rsidR="000254A6" w:rsidRDefault="000254A6" w:rsidP="000254A6">
      <w:pPr>
        <w:pStyle w:val="FootnoteText"/>
        <w:jc w:val="both"/>
      </w:pPr>
      <w:r w:rsidRPr="000254A6">
        <w:rPr>
          <w:rStyle w:val="FootnoteReference"/>
          <w:b/>
        </w:rPr>
        <w:footnoteRef/>
      </w:r>
      <w:r w:rsidRPr="000254A6">
        <w:rPr>
          <w:b/>
        </w:rPr>
        <w:t xml:space="preserve"> COLOR OF LAW:</w:t>
      </w:r>
      <w:r w:rsidRPr="000254A6">
        <w:t xml:space="preserve"> The appearance or semblance, without the substance, of legal right. </w:t>
      </w:r>
      <w:proofErr w:type="gramStart"/>
      <w:r w:rsidRPr="000254A6">
        <w:t xml:space="preserve">State v. </w:t>
      </w:r>
      <w:proofErr w:type="spellStart"/>
      <w:r w:rsidRPr="000254A6">
        <w:t>Brechler</w:t>
      </w:r>
      <w:proofErr w:type="spellEnd"/>
      <w:r w:rsidRPr="000254A6">
        <w:t>, 185 Wis. 599, 202 N.W. 144, 148.</w:t>
      </w:r>
      <w:proofErr w:type="gramEnd"/>
    </w:p>
  </w:footnote>
  <w:footnote w:id="41">
    <w:p w:rsidR="000254A6" w:rsidRDefault="000254A6">
      <w:pPr>
        <w:pStyle w:val="FootnoteText"/>
      </w:pPr>
      <w:r w:rsidRPr="000254A6">
        <w:rPr>
          <w:rStyle w:val="FootnoteReference"/>
          <w:b/>
        </w:rPr>
        <w:footnoteRef/>
      </w:r>
      <w:r w:rsidRPr="000254A6">
        <w:rPr>
          <w:b/>
        </w:rPr>
        <w:t xml:space="preserve"> COLOR OF OFFICE:</w:t>
      </w:r>
      <w:r w:rsidRPr="000254A6">
        <w:t xml:space="preserve"> An act unjustly done by the countenance of an office, being grounded upon corruption, to which the, office is as a shadow and color. Plow. 64. Day v. National Bond &amp; Investment Co., </w:t>
      </w:r>
      <w:proofErr w:type="spellStart"/>
      <w:r w:rsidRPr="000254A6">
        <w:t>Mo.App</w:t>
      </w:r>
      <w:proofErr w:type="spellEnd"/>
      <w:r w:rsidRPr="000254A6">
        <w:t>., 99 S.W.2d 117, 119.</w:t>
      </w:r>
      <w:r w:rsidR="002F3A57">
        <w:t xml:space="preserve">; </w:t>
      </w:r>
      <w:r w:rsidR="002F3A57" w:rsidRPr="002F3A57">
        <w:t xml:space="preserve">A claim or assumption of right to do an act by virtue of an office, made by a person who is legally destitute of any such right. Feller v. Gates, 40 Or. </w:t>
      </w:r>
      <w:proofErr w:type="gramStart"/>
      <w:r w:rsidR="002F3A57" w:rsidRPr="002F3A57">
        <w:t xml:space="preserve">543, 67 P. 416, 56 </w:t>
      </w:r>
      <w:proofErr w:type="spellStart"/>
      <w:r w:rsidR="002F3A57" w:rsidRPr="002F3A57">
        <w:t>L.R.A</w:t>
      </w:r>
      <w:proofErr w:type="spellEnd"/>
      <w:r w:rsidR="002F3A57" w:rsidRPr="002F3A57">
        <w:t xml:space="preserve">. 630, 91 </w:t>
      </w:r>
      <w:proofErr w:type="spellStart"/>
      <w:r w:rsidR="002F3A57" w:rsidRPr="002F3A57">
        <w:t>Am.St.Rep</w:t>
      </w:r>
      <w:proofErr w:type="spellEnd"/>
      <w:r w:rsidR="002F3A57" w:rsidRPr="002F3A57">
        <w:t>.</w:t>
      </w:r>
      <w:proofErr w:type="gramEnd"/>
      <w:r w:rsidR="002F3A57" w:rsidRPr="002F3A57">
        <w:t xml:space="preserve"> 492; Citizens' Bank of Colquitt v. American Surety Co. of New York, 174 Ga. 852, 164 S.E. 817; Pontiac Trust Co. v. Newell, 266 Mich. 490, 254 N.W. 178, 181.</w:t>
      </w:r>
    </w:p>
  </w:footnote>
  <w:footnote w:id="42">
    <w:p w:rsidR="006D68A6" w:rsidRDefault="006D68A6">
      <w:pPr>
        <w:pStyle w:val="FootnoteText"/>
      </w:pPr>
      <w:r>
        <w:rPr>
          <w:rStyle w:val="FootnoteReference"/>
        </w:rPr>
        <w:footnoteRef/>
      </w:r>
      <w:r>
        <w:t xml:space="preserve"> </w:t>
      </w:r>
      <w:proofErr w:type="gramStart"/>
      <w:r w:rsidRPr="006D68A6">
        <w:t>COLOR OF AUTHORITY.</w:t>
      </w:r>
      <w:proofErr w:type="gramEnd"/>
      <w:r w:rsidRPr="006D68A6">
        <w:t xml:space="preserve"> </w:t>
      </w:r>
      <w:proofErr w:type="gramStart"/>
      <w:r w:rsidRPr="006D68A6">
        <w:t>That semblance or presumption of authority sustaining the acts of a public officer which is derived from his apparent title to the office or from a writ or other process in his hands apparently valid and regular.</w:t>
      </w:r>
      <w:proofErr w:type="gramEnd"/>
      <w:r w:rsidRPr="006D68A6">
        <w:t xml:space="preserve"> State v. Oates, 86 Wis. 634, 57 N.W. 296, </w:t>
      </w:r>
      <w:proofErr w:type="gramStart"/>
      <w:r w:rsidRPr="006D68A6">
        <w:t xml:space="preserve">39 </w:t>
      </w:r>
      <w:proofErr w:type="spellStart"/>
      <w:r w:rsidRPr="006D68A6">
        <w:t>Am.St.Rep</w:t>
      </w:r>
      <w:proofErr w:type="spellEnd"/>
      <w:proofErr w:type="gramEnd"/>
      <w:r w:rsidRPr="006D68A6">
        <w:t>. 912.</w:t>
      </w:r>
    </w:p>
  </w:footnote>
  <w:footnote w:id="43">
    <w:p w:rsidR="00496D91" w:rsidRDefault="00496D91" w:rsidP="000254A6">
      <w:pPr>
        <w:pStyle w:val="FootnoteText"/>
        <w:jc w:val="both"/>
      </w:pPr>
      <w:r w:rsidRPr="00496D91">
        <w:rPr>
          <w:rStyle w:val="FootnoteReference"/>
          <w:b/>
        </w:rPr>
        <w:footnoteRef/>
      </w:r>
      <w:r w:rsidRPr="00496D91">
        <w:rPr>
          <w:b/>
        </w:rPr>
        <w:t xml:space="preserve"> High Treason</w:t>
      </w:r>
      <w:r>
        <w:rPr>
          <w:b/>
        </w:rPr>
        <w:t>:</w:t>
      </w:r>
      <w:r w:rsidRPr="00496D91">
        <w:rPr>
          <w:b/>
        </w:rPr>
        <w:t xml:space="preserve"> </w:t>
      </w:r>
      <w:r w:rsidRPr="00496D91">
        <w:t xml:space="preserve">In English law. </w:t>
      </w:r>
      <w:proofErr w:type="gramStart"/>
      <w:r w:rsidRPr="00496D91">
        <w:t>Treason against the king or sovereign, as distinguished from petit or petty treason, which might formerly be committed against a subject.</w:t>
      </w:r>
      <w:proofErr w:type="gramEnd"/>
      <w:r w:rsidRPr="00496D91">
        <w:t xml:space="preserve"> </w:t>
      </w:r>
      <w:proofErr w:type="gramStart"/>
      <w:r w:rsidRPr="00496D91">
        <w:t xml:space="preserve">4 </w:t>
      </w:r>
      <w:proofErr w:type="spellStart"/>
      <w:r w:rsidRPr="00496D91">
        <w:t>Bl.Comm</w:t>
      </w:r>
      <w:proofErr w:type="spellEnd"/>
      <w:r w:rsidRPr="00496D91">
        <w:t>.</w:t>
      </w:r>
      <w:proofErr w:type="gramEnd"/>
      <w:r w:rsidRPr="00496D91">
        <w:t xml:space="preserve"> </w:t>
      </w:r>
      <w:proofErr w:type="gramStart"/>
      <w:r w:rsidRPr="00496D91">
        <w:t>74, 75; 4 Steph.</w:t>
      </w:r>
      <w:proofErr w:type="gramEnd"/>
      <w:r w:rsidRPr="00496D91">
        <w:t xml:space="preserve"> Comm. 183, 184, </w:t>
      </w:r>
      <w:proofErr w:type="gramStart"/>
      <w:r w:rsidRPr="00496D91">
        <w:t>note</w:t>
      </w:r>
      <w:proofErr w:type="gramEnd"/>
      <w:r w:rsidRPr="00496D9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0B87"/>
    <w:multiLevelType w:val="hybridMultilevel"/>
    <w:tmpl w:val="C88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27"/>
    <w:rsid w:val="00011B53"/>
    <w:rsid w:val="00014FD7"/>
    <w:rsid w:val="000254A6"/>
    <w:rsid w:val="00060B90"/>
    <w:rsid w:val="00071BC2"/>
    <w:rsid w:val="00085A02"/>
    <w:rsid w:val="00086FCC"/>
    <w:rsid w:val="000938A7"/>
    <w:rsid w:val="000A2B9F"/>
    <w:rsid w:val="000D1636"/>
    <w:rsid w:val="000D4FFF"/>
    <w:rsid w:val="000D6899"/>
    <w:rsid w:val="000E0275"/>
    <w:rsid w:val="000E1204"/>
    <w:rsid w:val="000E3AFE"/>
    <w:rsid w:val="000E631E"/>
    <w:rsid w:val="000F5C56"/>
    <w:rsid w:val="001030C4"/>
    <w:rsid w:val="00105086"/>
    <w:rsid w:val="00112BE2"/>
    <w:rsid w:val="00115505"/>
    <w:rsid w:val="00137FC7"/>
    <w:rsid w:val="001468F9"/>
    <w:rsid w:val="00162175"/>
    <w:rsid w:val="00184DC3"/>
    <w:rsid w:val="00193F8B"/>
    <w:rsid w:val="001A4033"/>
    <w:rsid w:val="001B0AEC"/>
    <w:rsid w:val="001D7C8E"/>
    <w:rsid w:val="001E2485"/>
    <w:rsid w:val="001E6988"/>
    <w:rsid w:val="00203FD6"/>
    <w:rsid w:val="002333DE"/>
    <w:rsid w:val="0024326D"/>
    <w:rsid w:val="0025463E"/>
    <w:rsid w:val="00281BB6"/>
    <w:rsid w:val="002C3B96"/>
    <w:rsid w:val="002D76E6"/>
    <w:rsid w:val="002E6814"/>
    <w:rsid w:val="002F3A57"/>
    <w:rsid w:val="002F5DD4"/>
    <w:rsid w:val="00316132"/>
    <w:rsid w:val="0033668A"/>
    <w:rsid w:val="00337D9E"/>
    <w:rsid w:val="00344EE2"/>
    <w:rsid w:val="003464E8"/>
    <w:rsid w:val="00351297"/>
    <w:rsid w:val="00362807"/>
    <w:rsid w:val="00364163"/>
    <w:rsid w:val="00387EB3"/>
    <w:rsid w:val="00394136"/>
    <w:rsid w:val="0039568C"/>
    <w:rsid w:val="003A54E6"/>
    <w:rsid w:val="003A728F"/>
    <w:rsid w:val="003B2651"/>
    <w:rsid w:val="003B26ED"/>
    <w:rsid w:val="003B4702"/>
    <w:rsid w:val="003B7CCB"/>
    <w:rsid w:val="004014B5"/>
    <w:rsid w:val="004020D5"/>
    <w:rsid w:val="00403E2C"/>
    <w:rsid w:val="0042202E"/>
    <w:rsid w:val="004272A8"/>
    <w:rsid w:val="0043010B"/>
    <w:rsid w:val="00445B2C"/>
    <w:rsid w:val="004506FF"/>
    <w:rsid w:val="004651F5"/>
    <w:rsid w:val="00470800"/>
    <w:rsid w:val="0048300C"/>
    <w:rsid w:val="00483463"/>
    <w:rsid w:val="00496D91"/>
    <w:rsid w:val="004A0A89"/>
    <w:rsid w:val="004C2382"/>
    <w:rsid w:val="004C7E71"/>
    <w:rsid w:val="00515EE7"/>
    <w:rsid w:val="00561526"/>
    <w:rsid w:val="0056310E"/>
    <w:rsid w:val="00576E4A"/>
    <w:rsid w:val="00577E7C"/>
    <w:rsid w:val="00581F15"/>
    <w:rsid w:val="005A792C"/>
    <w:rsid w:val="005A7EA9"/>
    <w:rsid w:val="005B3316"/>
    <w:rsid w:val="005B3C88"/>
    <w:rsid w:val="005B4BCE"/>
    <w:rsid w:val="005C0006"/>
    <w:rsid w:val="005C2595"/>
    <w:rsid w:val="005D1385"/>
    <w:rsid w:val="006214A0"/>
    <w:rsid w:val="00626FF0"/>
    <w:rsid w:val="006302BE"/>
    <w:rsid w:val="0063258E"/>
    <w:rsid w:val="00640EEF"/>
    <w:rsid w:val="006673BA"/>
    <w:rsid w:val="006C6B01"/>
    <w:rsid w:val="006D68A6"/>
    <w:rsid w:val="006F7809"/>
    <w:rsid w:val="00732C40"/>
    <w:rsid w:val="00733C28"/>
    <w:rsid w:val="007368CE"/>
    <w:rsid w:val="0074247A"/>
    <w:rsid w:val="00747E74"/>
    <w:rsid w:val="00757B6E"/>
    <w:rsid w:val="00761363"/>
    <w:rsid w:val="007631B1"/>
    <w:rsid w:val="00766F72"/>
    <w:rsid w:val="00770543"/>
    <w:rsid w:val="0078505C"/>
    <w:rsid w:val="00793318"/>
    <w:rsid w:val="00794D81"/>
    <w:rsid w:val="007A1937"/>
    <w:rsid w:val="007B4099"/>
    <w:rsid w:val="007B4705"/>
    <w:rsid w:val="007D42C6"/>
    <w:rsid w:val="007D62D2"/>
    <w:rsid w:val="007D793F"/>
    <w:rsid w:val="007E1B99"/>
    <w:rsid w:val="007E55D9"/>
    <w:rsid w:val="0081026B"/>
    <w:rsid w:val="00894069"/>
    <w:rsid w:val="008A341C"/>
    <w:rsid w:val="008A5B42"/>
    <w:rsid w:val="008A6668"/>
    <w:rsid w:val="008B33C3"/>
    <w:rsid w:val="008B6A01"/>
    <w:rsid w:val="008C5F93"/>
    <w:rsid w:val="008D573A"/>
    <w:rsid w:val="008D7F98"/>
    <w:rsid w:val="008E4C6C"/>
    <w:rsid w:val="008F4012"/>
    <w:rsid w:val="008F564A"/>
    <w:rsid w:val="008F6406"/>
    <w:rsid w:val="009264B3"/>
    <w:rsid w:val="009271A9"/>
    <w:rsid w:val="00942C0A"/>
    <w:rsid w:val="00944018"/>
    <w:rsid w:val="009606E8"/>
    <w:rsid w:val="00972D58"/>
    <w:rsid w:val="00984468"/>
    <w:rsid w:val="0099617F"/>
    <w:rsid w:val="00997713"/>
    <w:rsid w:val="009C1276"/>
    <w:rsid w:val="009D4D2E"/>
    <w:rsid w:val="009D6045"/>
    <w:rsid w:val="009F738F"/>
    <w:rsid w:val="00A36189"/>
    <w:rsid w:val="00A40984"/>
    <w:rsid w:val="00A60118"/>
    <w:rsid w:val="00A60B64"/>
    <w:rsid w:val="00A6580B"/>
    <w:rsid w:val="00A80AFF"/>
    <w:rsid w:val="00A81DD3"/>
    <w:rsid w:val="00A915DE"/>
    <w:rsid w:val="00A92080"/>
    <w:rsid w:val="00A97168"/>
    <w:rsid w:val="00AC3660"/>
    <w:rsid w:val="00AC569D"/>
    <w:rsid w:val="00B10684"/>
    <w:rsid w:val="00B1266A"/>
    <w:rsid w:val="00B3145B"/>
    <w:rsid w:val="00B33D04"/>
    <w:rsid w:val="00B80C39"/>
    <w:rsid w:val="00B86C08"/>
    <w:rsid w:val="00B93FB8"/>
    <w:rsid w:val="00BA667E"/>
    <w:rsid w:val="00BC1A9A"/>
    <w:rsid w:val="00BD73C6"/>
    <w:rsid w:val="00BF0765"/>
    <w:rsid w:val="00BF1C9F"/>
    <w:rsid w:val="00C00694"/>
    <w:rsid w:val="00C046C5"/>
    <w:rsid w:val="00C161E8"/>
    <w:rsid w:val="00C318FD"/>
    <w:rsid w:val="00C37DCC"/>
    <w:rsid w:val="00C408A7"/>
    <w:rsid w:val="00C656EF"/>
    <w:rsid w:val="00C8143B"/>
    <w:rsid w:val="00C8565A"/>
    <w:rsid w:val="00C943E0"/>
    <w:rsid w:val="00C946BE"/>
    <w:rsid w:val="00CA1086"/>
    <w:rsid w:val="00CA2819"/>
    <w:rsid w:val="00CA5166"/>
    <w:rsid w:val="00CA6249"/>
    <w:rsid w:val="00CB15CA"/>
    <w:rsid w:val="00CC550B"/>
    <w:rsid w:val="00CD66B4"/>
    <w:rsid w:val="00CE0F1B"/>
    <w:rsid w:val="00CE47A3"/>
    <w:rsid w:val="00CF4824"/>
    <w:rsid w:val="00D15699"/>
    <w:rsid w:val="00D27B6E"/>
    <w:rsid w:val="00D4205B"/>
    <w:rsid w:val="00D75ABA"/>
    <w:rsid w:val="00D76366"/>
    <w:rsid w:val="00D856C5"/>
    <w:rsid w:val="00DA56E5"/>
    <w:rsid w:val="00DB5603"/>
    <w:rsid w:val="00DC7D57"/>
    <w:rsid w:val="00DD058B"/>
    <w:rsid w:val="00DF06F3"/>
    <w:rsid w:val="00E13DE1"/>
    <w:rsid w:val="00E21404"/>
    <w:rsid w:val="00E27A02"/>
    <w:rsid w:val="00E66F17"/>
    <w:rsid w:val="00E715A7"/>
    <w:rsid w:val="00E74D9D"/>
    <w:rsid w:val="00E848AA"/>
    <w:rsid w:val="00E87F65"/>
    <w:rsid w:val="00E95CFA"/>
    <w:rsid w:val="00EB32B3"/>
    <w:rsid w:val="00EC0910"/>
    <w:rsid w:val="00EC23A9"/>
    <w:rsid w:val="00EC4729"/>
    <w:rsid w:val="00EF1BB6"/>
    <w:rsid w:val="00F028F7"/>
    <w:rsid w:val="00F0371C"/>
    <w:rsid w:val="00F049DC"/>
    <w:rsid w:val="00F054F2"/>
    <w:rsid w:val="00F245EA"/>
    <w:rsid w:val="00F359CC"/>
    <w:rsid w:val="00F521BE"/>
    <w:rsid w:val="00F87120"/>
    <w:rsid w:val="00F9298C"/>
    <w:rsid w:val="00FA4D4C"/>
    <w:rsid w:val="00FB2327"/>
    <w:rsid w:val="00FB6B11"/>
    <w:rsid w:val="00FB7853"/>
    <w:rsid w:val="00FC7879"/>
    <w:rsid w:val="00FD6F4C"/>
    <w:rsid w:val="00FD7681"/>
    <w:rsid w:val="00FE27CF"/>
    <w:rsid w:val="00F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B2327"/>
    <w:pPr>
      <w:spacing w:after="0" w:line="240" w:lineRule="auto"/>
    </w:pPr>
    <w:rPr>
      <w:sz w:val="20"/>
    </w:rPr>
  </w:style>
  <w:style w:type="character" w:customStyle="1" w:styleId="FootnoteTextChar">
    <w:name w:val="Footnote Text Char"/>
    <w:basedOn w:val="DefaultParagraphFont"/>
    <w:link w:val="FootnoteText"/>
    <w:uiPriority w:val="99"/>
    <w:rsid w:val="00FB2327"/>
    <w:rPr>
      <w:sz w:val="20"/>
    </w:rPr>
  </w:style>
  <w:style w:type="character" w:styleId="FootnoteReference">
    <w:name w:val="footnote reference"/>
    <w:basedOn w:val="DefaultParagraphFont"/>
    <w:uiPriority w:val="99"/>
    <w:unhideWhenUsed/>
    <w:rsid w:val="00FB2327"/>
    <w:rPr>
      <w:vertAlign w:val="superscript"/>
    </w:rPr>
  </w:style>
  <w:style w:type="paragraph" w:customStyle="1" w:styleId="Style">
    <w:name w:val="Style"/>
    <w:rsid w:val="00FB2327"/>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7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02BE"/>
    <w:rPr>
      <w:rFonts w:ascii="Courier New" w:eastAsia="Times New Roman" w:hAnsi="Courier New" w:cs="Courier New"/>
      <w:sz w:val="20"/>
    </w:rPr>
  </w:style>
  <w:style w:type="paragraph" w:styleId="NormalWeb">
    <w:name w:val="Normal (Web)"/>
    <w:basedOn w:val="Normal"/>
    <w:rsid w:val="0098446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1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6B"/>
  </w:style>
  <w:style w:type="paragraph" w:styleId="Footer">
    <w:name w:val="footer"/>
    <w:basedOn w:val="Normal"/>
    <w:link w:val="FooterChar"/>
    <w:uiPriority w:val="99"/>
    <w:unhideWhenUsed/>
    <w:rsid w:val="0081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6B"/>
  </w:style>
  <w:style w:type="character" w:styleId="LineNumber">
    <w:name w:val="line number"/>
    <w:basedOn w:val="DefaultParagraphFont"/>
    <w:uiPriority w:val="99"/>
    <w:semiHidden/>
    <w:unhideWhenUsed/>
    <w:rsid w:val="008F6406"/>
  </w:style>
  <w:style w:type="paragraph" w:styleId="BalloonText">
    <w:name w:val="Balloon Text"/>
    <w:basedOn w:val="Normal"/>
    <w:link w:val="BalloonTextChar"/>
    <w:uiPriority w:val="99"/>
    <w:semiHidden/>
    <w:unhideWhenUsed/>
    <w:rsid w:val="0056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26"/>
    <w:rPr>
      <w:rFonts w:ascii="Tahoma" w:hAnsi="Tahoma" w:cs="Tahoma"/>
      <w:sz w:val="16"/>
      <w:szCs w:val="16"/>
    </w:rPr>
  </w:style>
  <w:style w:type="character" w:styleId="Hyperlink">
    <w:name w:val="Hyperlink"/>
    <w:basedOn w:val="DefaultParagraphFont"/>
    <w:uiPriority w:val="99"/>
    <w:unhideWhenUsed/>
    <w:rsid w:val="00CE47A3"/>
    <w:rPr>
      <w:color w:val="0000FF" w:themeColor="hyperlink"/>
      <w:u w:val="single"/>
    </w:rPr>
  </w:style>
  <w:style w:type="character" w:styleId="FollowedHyperlink">
    <w:name w:val="FollowedHyperlink"/>
    <w:basedOn w:val="DefaultParagraphFont"/>
    <w:uiPriority w:val="99"/>
    <w:semiHidden/>
    <w:unhideWhenUsed/>
    <w:rsid w:val="00E27A02"/>
    <w:rPr>
      <w:color w:val="800080" w:themeColor="followedHyperlink"/>
      <w:u w:val="single"/>
    </w:rPr>
  </w:style>
  <w:style w:type="paragraph" w:styleId="ListParagraph">
    <w:name w:val="List Paragraph"/>
    <w:basedOn w:val="Normal"/>
    <w:uiPriority w:val="34"/>
    <w:qFormat/>
    <w:rsid w:val="00025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B2327"/>
    <w:pPr>
      <w:spacing w:after="0" w:line="240" w:lineRule="auto"/>
    </w:pPr>
    <w:rPr>
      <w:sz w:val="20"/>
    </w:rPr>
  </w:style>
  <w:style w:type="character" w:customStyle="1" w:styleId="FootnoteTextChar">
    <w:name w:val="Footnote Text Char"/>
    <w:basedOn w:val="DefaultParagraphFont"/>
    <w:link w:val="FootnoteText"/>
    <w:uiPriority w:val="99"/>
    <w:rsid w:val="00FB2327"/>
    <w:rPr>
      <w:sz w:val="20"/>
    </w:rPr>
  </w:style>
  <w:style w:type="character" w:styleId="FootnoteReference">
    <w:name w:val="footnote reference"/>
    <w:basedOn w:val="DefaultParagraphFont"/>
    <w:uiPriority w:val="99"/>
    <w:unhideWhenUsed/>
    <w:rsid w:val="00FB2327"/>
    <w:rPr>
      <w:vertAlign w:val="superscript"/>
    </w:rPr>
  </w:style>
  <w:style w:type="paragraph" w:customStyle="1" w:styleId="Style">
    <w:name w:val="Style"/>
    <w:rsid w:val="00FB2327"/>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7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02BE"/>
    <w:rPr>
      <w:rFonts w:ascii="Courier New" w:eastAsia="Times New Roman" w:hAnsi="Courier New" w:cs="Courier New"/>
      <w:sz w:val="20"/>
    </w:rPr>
  </w:style>
  <w:style w:type="paragraph" w:styleId="NormalWeb">
    <w:name w:val="Normal (Web)"/>
    <w:basedOn w:val="Normal"/>
    <w:rsid w:val="0098446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1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6B"/>
  </w:style>
  <w:style w:type="paragraph" w:styleId="Footer">
    <w:name w:val="footer"/>
    <w:basedOn w:val="Normal"/>
    <w:link w:val="FooterChar"/>
    <w:uiPriority w:val="99"/>
    <w:unhideWhenUsed/>
    <w:rsid w:val="0081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6B"/>
  </w:style>
  <w:style w:type="character" w:styleId="LineNumber">
    <w:name w:val="line number"/>
    <w:basedOn w:val="DefaultParagraphFont"/>
    <w:uiPriority w:val="99"/>
    <w:semiHidden/>
    <w:unhideWhenUsed/>
    <w:rsid w:val="008F6406"/>
  </w:style>
  <w:style w:type="paragraph" w:styleId="BalloonText">
    <w:name w:val="Balloon Text"/>
    <w:basedOn w:val="Normal"/>
    <w:link w:val="BalloonTextChar"/>
    <w:uiPriority w:val="99"/>
    <w:semiHidden/>
    <w:unhideWhenUsed/>
    <w:rsid w:val="0056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26"/>
    <w:rPr>
      <w:rFonts w:ascii="Tahoma" w:hAnsi="Tahoma" w:cs="Tahoma"/>
      <w:sz w:val="16"/>
      <w:szCs w:val="16"/>
    </w:rPr>
  </w:style>
  <w:style w:type="character" w:styleId="Hyperlink">
    <w:name w:val="Hyperlink"/>
    <w:basedOn w:val="DefaultParagraphFont"/>
    <w:uiPriority w:val="99"/>
    <w:unhideWhenUsed/>
    <w:rsid w:val="00CE47A3"/>
    <w:rPr>
      <w:color w:val="0000FF" w:themeColor="hyperlink"/>
      <w:u w:val="single"/>
    </w:rPr>
  </w:style>
  <w:style w:type="character" w:styleId="FollowedHyperlink">
    <w:name w:val="FollowedHyperlink"/>
    <w:basedOn w:val="DefaultParagraphFont"/>
    <w:uiPriority w:val="99"/>
    <w:semiHidden/>
    <w:unhideWhenUsed/>
    <w:rsid w:val="00E27A02"/>
    <w:rPr>
      <w:color w:val="800080" w:themeColor="followedHyperlink"/>
      <w:u w:val="single"/>
    </w:rPr>
  </w:style>
  <w:style w:type="paragraph" w:styleId="ListParagraph">
    <w:name w:val="List Paragraph"/>
    <w:basedOn w:val="Normal"/>
    <w:uiPriority w:val="34"/>
    <w:qFormat/>
    <w:rsid w:val="00025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2495">
      <w:bodyDiv w:val="1"/>
      <w:marLeft w:val="0"/>
      <w:marRight w:val="0"/>
      <w:marTop w:val="0"/>
      <w:marBottom w:val="0"/>
      <w:divBdr>
        <w:top w:val="none" w:sz="0" w:space="0" w:color="auto"/>
        <w:left w:val="none" w:sz="0" w:space="0" w:color="auto"/>
        <w:bottom w:val="none" w:sz="0" w:space="0" w:color="auto"/>
        <w:right w:val="none" w:sz="0" w:space="0" w:color="auto"/>
      </w:divBdr>
    </w:div>
    <w:div w:id="9687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5B13-5CC5-4E05-A149-0E436CBD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9</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51</cp:revision>
  <cp:lastPrinted>2019-06-08T22:29:00Z</cp:lastPrinted>
  <dcterms:created xsi:type="dcterms:W3CDTF">2019-02-18T12:31:00Z</dcterms:created>
  <dcterms:modified xsi:type="dcterms:W3CDTF">2019-06-08T22:37:00Z</dcterms:modified>
</cp:coreProperties>
</file>